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D2CB" w14:textId="0CD910B9" w:rsidR="00924290" w:rsidRDefault="00924290" w:rsidP="00924290">
      <w:pPr>
        <w:pStyle w:val="Heading1"/>
      </w:pPr>
      <w:r>
        <w:t>Papers addressing multiple interventions</w:t>
      </w:r>
    </w:p>
    <w:tbl>
      <w:tblPr>
        <w:tblStyle w:val="PlainTable4"/>
        <w:tblW w:w="0" w:type="auto"/>
        <w:tblLook w:val="0420" w:firstRow="1" w:lastRow="0" w:firstColumn="0" w:lastColumn="0" w:noHBand="0" w:noVBand="1"/>
      </w:tblPr>
      <w:tblGrid>
        <w:gridCol w:w="885"/>
        <w:gridCol w:w="1950"/>
        <w:gridCol w:w="4681"/>
        <w:gridCol w:w="1381"/>
        <w:gridCol w:w="2435"/>
        <w:gridCol w:w="1413"/>
        <w:gridCol w:w="2653"/>
      </w:tblGrid>
      <w:tr w:rsidR="00E9600C" w14:paraId="6C82DD75" w14:textId="77777777" w:rsidTr="00E9600C">
        <w:trPr>
          <w:cnfStyle w:val="100000000000" w:firstRow="1" w:lastRow="0" w:firstColumn="0" w:lastColumn="0" w:oddVBand="0" w:evenVBand="0" w:oddHBand="0" w:evenHBand="0" w:firstRowFirstColumn="0" w:firstRowLastColumn="0" w:lastRowFirstColumn="0" w:lastRowLastColumn="0"/>
        </w:trPr>
        <w:tc>
          <w:tcPr>
            <w:tcW w:w="0" w:type="auto"/>
          </w:tcPr>
          <w:p w14:paraId="2C51235C" w14:textId="0D1E7A9C" w:rsidR="00600DA8" w:rsidRDefault="00600DA8" w:rsidP="00C52EFC">
            <w:r>
              <w:t>Paper</w:t>
            </w:r>
          </w:p>
        </w:tc>
        <w:tc>
          <w:tcPr>
            <w:tcW w:w="1950" w:type="dxa"/>
          </w:tcPr>
          <w:p w14:paraId="7E70FC04" w14:textId="6165CA03" w:rsidR="00600DA8" w:rsidRDefault="00600DA8" w:rsidP="00C52EFC">
            <w:r w:rsidRPr="00D231B2">
              <w:rPr>
                <w:rFonts w:asciiTheme="minorBidi" w:eastAsia="Arial" w:hAnsiTheme="minorBidi" w:cstheme="minorBidi"/>
                <w:color w:val="000000"/>
                <w:szCs w:val="16"/>
              </w:rPr>
              <w:t>Title</w:t>
            </w:r>
          </w:p>
        </w:tc>
        <w:tc>
          <w:tcPr>
            <w:tcW w:w="4681" w:type="dxa"/>
          </w:tcPr>
          <w:p w14:paraId="1934A15E" w14:textId="1903B813" w:rsidR="00600DA8" w:rsidRDefault="00600DA8" w:rsidP="00697BBB">
            <w:r w:rsidRPr="00D231B2">
              <w:t>Abstract</w:t>
            </w:r>
          </w:p>
        </w:tc>
        <w:tc>
          <w:tcPr>
            <w:tcW w:w="0" w:type="auto"/>
          </w:tcPr>
          <w:p w14:paraId="3FC65012" w14:textId="159BE88A" w:rsidR="00600DA8" w:rsidRDefault="00600DA8" w:rsidP="00C52EFC">
            <w:r>
              <w:t>Population</w:t>
            </w:r>
          </w:p>
        </w:tc>
        <w:tc>
          <w:tcPr>
            <w:tcW w:w="2435" w:type="dxa"/>
          </w:tcPr>
          <w:p w14:paraId="130ADDC4" w14:textId="1619EFA2" w:rsidR="00600DA8" w:rsidRDefault="00600DA8" w:rsidP="00C52EFC">
            <w:r>
              <w:t>Interventions assessed</w:t>
            </w:r>
          </w:p>
        </w:tc>
        <w:tc>
          <w:tcPr>
            <w:tcW w:w="1413" w:type="dxa"/>
          </w:tcPr>
          <w:p w14:paraId="705DE828" w14:textId="775595F7" w:rsidR="00600DA8" w:rsidRDefault="00DA1954" w:rsidP="00C52EFC">
            <w:r>
              <w:t>Outcomes</w:t>
            </w:r>
          </w:p>
        </w:tc>
        <w:tc>
          <w:tcPr>
            <w:tcW w:w="0" w:type="auto"/>
          </w:tcPr>
          <w:p w14:paraId="35FAAB1A" w14:textId="3F425FB1" w:rsidR="00600DA8" w:rsidRDefault="00600DA8" w:rsidP="00C52EFC">
            <w:r>
              <w:t>Findings</w:t>
            </w:r>
          </w:p>
        </w:tc>
      </w:tr>
      <w:tr w:rsidR="00E9600C" w14:paraId="1EF8D1A1" w14:textId="77777777" w:rsidTr="00E9600C">
        <w:trPr>
          <w:cnfStyle w:val="000000100000" w:firstRow="0" w:lastRow="0" w:firstColumn="0" w:lastColumn="0" w:oddVBand="0" w:evenVBand="0" w:oddHBand="1" w:evenHBand="0" w:firstRowFirstColumn="0" w:firstRowLastColumn="0" w:lastRowFirstColumn="0" w:lastRowLastColumn="0"/>
        </w:trPr>
        <w:tc>
          <w:tcPr>
            <w:tcW w:w="0" w:type="auto"/>
          </w:tcPr>
          <w:p w14:paraId="1E57F069" w14:textId="7E4D0EAF" w:rsidR="00922405" w:rsidRDefault="00922405" w:rsidP="00922405">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aG5vbG9naWVzPC9yZW1vdGUtZGF0YWJhc2UtcHJvdmlkZXI+PHJlc2VhcmNoLW5vdGVzPmRvdWJs
ZS1kb25lPC9yZXNlYXJjaC1ub3Rlcz48L3JlY29yZD48L0NpdGU+PC9FbmROb3RlPn==
</w:fldData>
              </w:fldChar>
            </w:r>
            <w:r w:rsidR="00297D20" w:rsidRPr="00D62462">
              <w:instrText xml:space="preserve"> ADDIN EN.CITE </w:instrText>
            </w:r>
            <w:r w:rsidR="00297D20" w:rsidRPr="00D62462">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aG5vbG9naWVzPC9yZW1vdGUtZGF0YWJhc2UtcHJvdmlkZXI+PHJlc2VhcmNoLW5vdGVzPmRvdWJs
ZS1kb25lPC9yZXNlYXJjaC1ub3Rlcz48L3JlY29yZD48L0NpdGU+PC9FbmROb3RlPn==
</w:fldData>
              </w:fldChar>
            </w:r>
            <w:r w:rsidR="00297D20" w:rsidRPr="00D62462">
              <w:instrText xml:space="preserve"> ADDIN EN.CITE.DATA </w:instrText>
            </w:r>
            <w:r w:rsidR="00297D20" w:rsidRPr="00D62462">
              <w:fldChar w:fldCharType="end"/>
            </w:r>
            <w:r>
              <w:fldChar w:fldCharType="separate"/>
            </w:r>
            <w:r>
              <w:rPr>
                <w:noProof/>
              </w:rPr>
              <w:t>Beltz et al., 2015</w:t>
            </w:r>
            <w:r>
              <w:fldChar w:fldCharType="end"/>
            </w:r>
          </w:p>
        </w:tc>
        <w:tc>
          <w:tcPr>
            <w:tcW w:w="1950" w:type="dxa"/>
          </w:tcPr>
          <w:p w14:paraId="4DCC3A4A" w14:textId="70F164AB" w:rsidR="00922405" w:rsidRDefault="00922405" w:rsidP="00922405">
            <w:r w:rsidRPr="00D231B2">
              <w:t>State policy and teen childbearing: A review of research studies</w:t>
            </w:r>
          </w:p>
        </w:tc>
        <w:tc>
          <w:tcPr>
            <w:tcW w:w="4681" w:type="dxa"/>
          </w:tcPr>
          <w:p w14:paraId="1A9651ED" w14:textId="4B2D042B" w:rsidR="00922405" w:rsidRDefault="00922405" w:rsidP="00697BBB">
            <w:pPr>
              <w:pStyle w:val="Abstract"/>
            </w:pPr>
            <w:r w:rsidRPr="00D231B2">
              <w:t xml:space="preserve">Teen childbearing is affected by many individual, family, and community factors; however, another potential influence is state policy. Rigorous studies of the relationship between state policy and teen birth rates are </w:t>
            </w:r>
            <w:proofErr w:type="gramStart"/>
            <w:r w:rsidRPr="00D231B2">
              <w:t>few in number</w:t>
            </w:r>
            <w:proofErr w:type="gramEnd"/>
            <w:r w:rsidRPr="00D231B2">
              <w:t xml:space="preserve"> but represent a body of knowledge that can inform policy and practice. This article reviews research assessing associations between state-level policies and teen birth rates, focusing on five policy areas: access to family planning, education, sex education, public assistance, and access to abortion services. Overall, several studies have found that measures related to access to and use of family planning services and contraceptives are related to lower state-level teen birth rates. These include adolescent </w:t>
            </w:r>
            <w:proofErr w:type="spellStart"/>
            <w:r w:rsidRPr="00D231B2">
              <w:t>enrollment</w:t>
            </w:r>
            <w:proofErr w:type="spellEnd"/>
            <w:r w:rsidRPr="00D231B2">
              <w:t xml:space="preserve"> in clinics, minors' access to contraception, conscience laws, family planning expenditures, and Medicaid waivers. Other studies, although largely cross-sectional analyses, have concluded that policies and practices to expand or improve public education are also associated with lower teen birth rates. These include expenditures on education, teacher-to-student ratios, and graduation requirements. However, the evidence regarding the role of public assistance, abortion access, and sex education policies in reducing teen birth rates is mixed and inconclusive. These conclusions must be viewed as tentative because of the limited number of rigorous studies that examine the relationship between state policy and teen birth rates over time. Many specific policies have only been </w:t>
            </w:r>
            <w:proofErr w:type="spellStart"/>
            <w:r w:rsidRPr="00D231B2">
              <w:t>analyzed</w:t>
            </w:r>
            <w:proofErr w:type="spellEnd"/>
            <w:r w:rsidRPr="00D231B2">
              <w:t xml:space="preserve"> by a single study, and few findings are based on recent data. As such, more research is needed to strengthen our understanding of the role of state policies in teen birth rates. Copyright © 2015 Society for Adolescent Health and Medicine.</w:t>
            </w:r>
          </w:p>
        </w:tc>
        <w:tc>
          <w:tcPr>
            <w:tcW w:w="0" w:type="auto"/>
          </w:tcPr>
          <w:p w14:paraId="2EAEAEC2" w14:textId="34DCEDAA" w:rsidR="00922405" w:rsidRDefault="00922405" w:rsidP="00922405">
            <w:r>
              <w:t>USA (1968-2007)</w:t>
            </w:r>
          </w:p>
        </w:tc>
        <w:tc>
          <w:tcPr>
            <w:tcW w:w="2435" w:type="dxa"/>
          </w:tcPr>
          <w:p w14:paraId="2C7C8444" w14:textId="48B39478" w:rsidR="00922405" w:rsidRDefault="00922405" w:rsidP="00922405">
            <w:r>
              <w:t>This review looked at the impacts on teen birth rate of state policies on access to family planning, education, sex education, welfare support and abortion.</w:t>
            </w:r>
          </w:p>
        </w:tc>
        <w:tc>
          <w:tcPr>
            <w:tcW w:w="1413" w:type="dxa"/>
          </w:tcPr>
          <w:p w14:paraId="7FA5E2AC" w14:textId="21D47828" w:rsidR="00922405" w:rsidRDefault="00297D20" w:rsidP="00922405">
            <w:r>
              <w:t>Teen birth rates</w:t>
            </w:r>
          </w:p>
        </w:tc>
        <w:tc>
          <w:tcPr>
            <w:tcW w:w="0" w:type="auto"/>
          </w:tcPr>
          <w:p w14:paraId="7E730E4E" w14:textId="02D8B36D" w:rsidR="00922405" w:rsidRDefault="00922405" w:rsidP="00922405">
            <w:r>
              <w:t xml:space="preserve">Access to family planning was related to lower birth rates, alongside greater provision of public education. Conclusions were not clear concerning sex education and welfare support. Impact of abortion policy was unclear and is likely irrelevant to conception rates. </w:t>
            </w:r>
          </w:p>
        </w:tc>
      </w:tr>
      <w:tr w:rsidR="006F386A" w14:paraId="481C00E5" w14:textId="77777777" w:rsidTr="00E9600C">
        <w:tc>
          <w:tcPr>
            <w:tcW w:w="0" w:type="auto"/>
          </w:tcPr>
          <w:p w14:paraId="52AA9D13" w14:textId="498EA8DC" w:rsidR="006F386A" w:rsidRDefault="006F386A" w:rsidP="006F386A">
            <w:r>
              <w:fldChar w:fldCharType="begin"/>
            </w:r>
            <w:r>
              <w:instrText xml:space="preserve"> ADDIN EN.CITE &lt;EndNote&gt;&lt;Cite&gt;&lt;Author&gt;Brittain&lt;/Author&gt;&lt;Year&gt;2015&lt;/Year&gt;&lt;RecNum&gt;3505&lt;/RecNum&gt;&lt;DisplayText&gt;Brittain et al., 2015&lt;/DisplayText&gt;&lt;record&gt;&lt;rec-number&gt;3505&lt;/rec-number&gt;&lt;foreign-keys&gt;&lt;key app="EN" db-id="rrxa5fwxats5z9evw9p5vet69atde9rfazs9" timestamp="1530012565"&gt;3505&lt;/key&gt;&lt;/foreign-keys&gt;&lt;ref-type name="Journal Article"&gt;17&lt;/ref-type&gt;&lt;contributors&gt;&lt;authors&gt;&lt;author&gt;Brittain, A. W.&lt;/author&gt;&lt;author&gt;Williams, J. R.&lt;/author&gt;&lt;author&gt;Zapata, L. B.&lt;/author&gt;&lt;author&gt;Pazol, K.&lt;/author&gt;&lt;author&gt;Romero, L. M.&lt;/author&gt;&lt;author&gt;Weik, T. S.&lt;/author&gt;&lt;/authors&gt;&lt;/contributors&gt;&lt;titles&gt;&lt;title&gt;Youth-Friendly Family Planning Services for Young People: A Systematic Review&lt;/title&gt;&lt;secondary-title&gt;American Journal of Preventive Medicine&lt;/secondary-title&gt;&lt;/titles&gt;&lt;periodical&gt;&lt;full-title&gt;American Journal of Preventive Medicine&lt;/full-title&gt;&lt;/periodical&gt;&lt;pages&gt;S73-S84&lt;/pages&gt;&lt;volume&gt;49&lt;/volume&gt;&lt;number&gt;2&lt;/number&gt;&lt;dates&gt;&lt;year&gt;2015&lt;/year&gt;&lt;/dates&gt;&lt;label&gt;Multiple interventions&lt;/label&gt;&lt;work-type&gt;Article&lt;/work-type&gt;&lt;urls&gt;&lt;related-urls&gt;&lt;url&gt;https://www.scopus.com/inward/record.uri?eid=2-s2.0-84937458634&amp;amp;doi=10.1016%2fj.amepre.2015.03.019&amp;amp;partnerID=40&amp;amp;md5=aca166f2ddc82fca23dfa84c3992ebdf&lt;/url&gt;&lt;url&gt;https://ac.els-cdn.com/S0749379715001397/1-s2.0-S0749379715001397-main.pdf?_tid=0dce45b6-abc0-49a2-b901-8303c8b7290e&amp;amp;acdnat=1529919267_47a74e5555c330edc56d7d56c086a0cb&lt;/url&gt;&lt;/related-urls&gt;&lt;/urls&gt;&lt;electronic-resource-num&gt;10.1016/j.amepre.2015.03.019&lt;/electronic-resource-num&gt;&lt;remote-database-name&gt;Scopus&lt;/remote-database-name&gt;&lt;/record&gt;&lt;/Cite&gt;&lt;/EndNote&gt;</w:instrText>
            </w:r>
            <w:r>
              <w:fldChar w:fldCharType="separate"/>
            </w:r>
            <w:r>
              <w:rPr>
                <w:noProof/>
              </w:rPr>
              <w:t>Brittain et al., 2015</w:t>
            </w:r>
            <w:r>
              <w:fldChar w:fldCharType="end"/>
            </w:r>
          </w:p>
        </w:tc>
        <w:tc>
          <w:tcPr>
            <w:tcW w:w="1950" w:type="dxa"/>
          </w:tcPr>
          <w:p w14:paraId="147660A5" w14:textId="08E01134" w:rsidR="006F386A" w:rsidRDefault="006F386A" w:rsidP="006F386A">
            <w:r w:rsidRPr="00E75A0A">
              <w:t>Youth-Friendly Family Planning Services for Young People: A Systematic Review</w:t>
            </w:r>
          </w:p>
        </w:tc>
        <w:tc>
          <w:tcPr>
            <w:tcW w:w="4681" w:type="dxa"/>
          </w:tcPr>
          <w:p w14:paraId="5AC9073F" w14:textId="0DD25CCF" w:rsidR="006F386A" w:rsidRDefault="006F386A" w:rsidP="006F386A">
            <w:pPr>
              <w:pStyle w:val="Abstract"/>
            </w:pPr>
            <w:r w:rsidRPr="00E75A0A">
              <w:t xml:space="preserve">Context "Youth-friendly" family planning services, services tailored to meet the </w:t>
            </w:r>
            <w:proofErr w:type="gramStart"/>
            <w:r w:rsidRPr="00E75A0A">
              <w:t>particular sexual</w:t>
            </w:r>
            <w:proofErr w:type="gramEnd"/>
            <w:r w:rsidRPr="00E75A0A">
              <w:t xml:space="preserve"> and reproductive health needs of young people (aged 10-24 years), may improve reproductive health outcomes, including reduction of unintended pregnancy. The objectives of this systematic review were to summarize the evidence of the effect of youth-friendly family planning services on reproductive health outcomes and to describe key characteristics of youth-friendly family planning interventions. The review, conducted in 2011, was used to inform national recommendations on</w:t>
            </w:r>
            <w:bookmarkStart w:id="0" w:name="_GoBack"/>
            <w:bookmarkEnd w:id="0"/>
            <w:r w:rsidRPr="00E75A0A">
              <w:t xml:space="preserve"> quality family planning services. Evidence acquisition Several electronic bibliographic databases, including PubMed, PsycINFO, and </w:t>
            </w:r>
            <w:proofErr w:type="spellStart"/>
            <w:r w:rsidRPr="00E75A0A">
              <w:t>Popline</w:t>
            </w:r>
            <w:proofErr w:type="spellEnd"/>
            <w:r w:rsidRPr="00E75A0A">
              <w:t>, were used to identify relevant articles published from January 1985 through February 2011. Evidence synthesis Nineteen articles met the inclusion criteria. Of these, six evaluated outcomes relevant to unintended pregnancy, contraceptive use, and knowledge or patient satisfaction. The 13 remaining studies identified perspectives on youth-friendly characteristics. Of the studies examining outcomes, most had a positive effect (two of three for unintended pregnancy, three of three for contraceptive use, and three of three for knowledge and/or patient satisfaction). Remaining studies described nine key characteristics of youth-friendly family planning services. Conclusions This review demonstrates that there is limited evidence that youth-friendly services may improve reproductive health outcomes for young people and identifies service characteristics that might increase their receptivity to using these services. Although more rigorous studies are needed, the interventions and characteristics identified in this review should be considered in the development and evaluation of youth-friendly family planning interventions in clinical settings.</w:t>
            </w:r>
          </w:p>
        </w:tc>
        <w:tc>
          <w:tcPr>
            <w:tcW w:w="0" w:type="auto"/>
          </w:tcPr>
          <w:p w14:paraId="7658B4FF" w14:textId="77F05A67" w:rsidR="006F386A" w:rsidRDefault="006F386A" w:rsidP="006F386A">
            <w:r>
              <w:t>USA, Canada, Australia, New Zealand, Europe (1985 to 2011)</w:t>
            </w:r>
          </w:p>
        </w:tc>
        <w:tc>
          <w:tcPr>
            <w:tcW w:w="2435" w:type="dxa"/>
          </w:tcPr>
          <w:p w14:paraId="2FA12898" w14:textId="3AE28F0F" w:rsidR="006F386A" w:rsidRDefault="006F386A" w:rsidP="006F386A">
            <w:r>
              <w:t>This study focussed on defining and evaluating the impact of youth-friendly services – specifically designed or adapted to target reduction in adolescent pregnancy. Peer interventions, one to one counselling, youth-focussed sexual health clinic services were each assessed.</w:t>
            </w:r>
          </w:p>
        </w:tc>
        <w:tc>
          <w:tcPr>
            <w:tcW w:w="1413" w:type="dxa"/>
          </w:tcPr>
          <w:p w14:paraId="07E6F055" w14:textId="77777777" w:rsidR="006F386A" w:rsidRDefault="006F386A" w:rsidP="006F386A"/>
        </w:tc>
        <w:tc>
          <w:tcPr>
            <w:tcW w:w="0" w:type="auto"/>
          </w:tcPr>
          <w:p w14:paraId="44248556" w14:textId="0F9CA808" w:rsidR="006F386A" w:rsidRDefault="006F386A" w:rsidP="006F386A">
            <w:r>
              <w:t>Some evidence that improving youth access to sexual health services influenced sexual risk behaviours; two of three studies which looked at pregnancy rates found significant reductions associated with these interventions.</w:t>
            </w:r>
          </w:p>
        </w:tc>
      </w:tr>
      <w:tr w:rsidR="00E9600C" w14:paraId="4360E8FE" w14:textId="77777777" w:rsidTr="00E9600C">
        <w:trPr>
          <w:cnfStyle w:val="000000100000" w:firstRow="0" w:lastRow="0" w:firstColumn="0" w:lastColumn="0" w:oddVBand="0" w:evenVBand="0" w:oddHBand="1" w:evenHBand="0" w:firstRowFirstColumn="0" w:firstRowLastColumn="0" w:lastRowFirstColumn="0" w:lastRowLastColumn="0"/>
        </w:trPr>
        <w:tc>
          <w:tcPr>
            <w:tcW w:w="0" w:type="auto"/>
          </w:tcPr>
          <w:p w14:paraId="2EAEFFBF" w14:textId="4BBAF475" w:rsidR="001A5F13" w:rsidRDefault="001A5F13" w:rsidP="001A5F13">
            <w:r>
              <w:fldChar w:fldCharType="begin"/>
            </w:r>
            <w:r>
              <w:instrText xml:space="preserve"> ADDIN EN.CITE &lt;EndNote&gt;&lt;Cite&gt;&lt;Author&gt;Cardoza&lt;/Author&gt;&lt;Year&gt;2012&lt;/Year&gt;&lt;RecNum&gt;3452&lt;/RecNum&gt;&lt;DisplayText&gt;Cardoza et al., 2012&lt;/DisplayText&gt;&lt;record&gt;&lt;rec-number&gt;3452&lt;/rec-number&gt;&lt;foreign-keys&gt;&lt;key app="EN" db-id="rrxa5fwxats5z9evw9p5vet69atde9rfazs9" timestamp="1530012561"&gt;3452&lt;/key&gt;&lt;/foreign-keys&gt;&lt;ref-type name="Journal Article"&gt;17&lt;/ref-type&gt;&lt;contributors&gt;&lt;authors&gt;&lt;author&gt;Cardoza, V. J.&lt;/author&gt;&lt;author&gt;Documét, P. I.&lt;/author&gt;&lt;author&gt;Fryer, C. S.&lt;/author&gt;&lt;author&gt;Gold, M. A.&lt;/author&gt;&lt;author&gt;Butler, J.&lt;/author&gt;&lt;/authors&gt;&lt;/contributors&gt;&lt;titles&gt;&lt;title&gt;Sexual Health Behavior Interventions for U.S. Latino Adolescents: A Systematic Review of the Literature&lt;/title&gt;&lt;secondary-title&gt;Journal of Pediatric and Adolescent Gynecology&lt;/secondary-title&gt;&lt;/titles&gt;&lt;periodical&gt;&lt;full-title&gt;Journal of Pediatric and Adolescent Gynecology&lt;/full-title&gt;&lt;/periodical&gt;&lt;pages&gt;136-149&lt;/pages&gt;&lt;volume&gt;25&lt;/volume&gt;&lt;number&gt;2&lt;/number&gt;&lt;dates&gt;&lt;year&gt;2012&lt;/year&gt;&lt;/dates&gt;&lt;label&gt;Multiple interventions&lt;/label&gt;&lt;work-type&gt;Article&lt;/work-type&gt;&lt;urls&gt;&lt;related-urls&gt;&lt;url&gt;https://www.scopus.com/inward/record.uri?eid=2-s2.0-84858279117&amp;amp;doi=10.1016%2fj.jpag.2011.09.011&amp;amp;partnerID=40&amp;amp;md5=c821572fb84538482d79c0a672e4eee7&lt;/url&gt;&lt;url&gt;https://ac.els-cdn.com/S1083318811003834/1-s2.0-S1083318811003834-main.pdf?_tid=9e397c2e-f4df-4c2e-80e0-9ea222fab43a&amp;amp;acdnat=1529919946_52c5a404df90b2750f1dc70318d01753&lt;/url&gt;&lt;/related-urls&gt;&lt;/urls&gt;&lt;electronic-resource-num&gt;10.1016/j.jpag.2011.09.011&lt;/electronic-resource-num&gt;&lt;remote-database-name&gt;Scopus&lt;/remote-database-name&gt;&lt;/record&gt;&lt;/Cite&gt;&lt;/EndNote&gt;</w:instrText>
            </w:r>
            <w:r>
              <w:fldChar w:fldCharType="separate"/>
            </w:r>
            <w:r>
              <w:rPr>
                <w:noProof/>
              </w:rPr>
              <w:t>Cardoza et al., 2012</w:t>
            </w:r>
            <w:r>
              <w:fldChar w:fldCharType="end"/>
            </w:r>
          </w:p>
        </w:tc>
        <w:tc>
          <w:tcPr>
            <w:tcW w:w="1950" w:type="dxa"/>
          </w:tcPr>
          <w:p w14:paraId="4E8E30A9" w14:textId="601250DF" w:rsidR="001A5F13" w:rsidRDefault="001A5F13" w:rsidP="001A5F13">
            <w:r w:rsidRPr="00D231B2">
              <w:t xml:space="preserve">Sexual Health </w:t>
            </w:r>
            <w:proofErr w:type="spellStart"/>
            <w:r w:rsidRPr="00D231B2">
              <w:t>Behavior</w:t>
            </w:r>
            <w:proofErr w:type="spellEnd"/>
            <w:r w:rsidRPr="00D231B2">
              <w:t xml:space="preserve"> Interventions for U.S. Latino Adolescents: A </w:t>
            </w:r>
            <w:r w:rsidRPr="00D231B2">
              <w:lastRenderedPageBreak/>
              <w:t>Systematic Review of the Literature</w:t>
            </w:r>
          </w:p>
        </w:tc>
        <w:tc>
          <w:tcPr>
            <w:tcW w:w="4681" w:type="dxa"/>
          </w:tcPr>
          <w:p w14:paraId="7C99A890" w14:textId="39B55873" w:rsidR="001A5F13" w:rsidRDefault="001A5F13" w:rsidP="001A5F13">
            <w:pPr>
              <w:pStyle w:val="Abstract"/>
            </w:pPr>
            <w:r w:rsidRPr="00D231B2">
              <w:lastRenderedPageBreak/>
              <w:t xml:space="preserve">Study Objective: To identify sexual health </w:t>
            </w:r>
            <w:proofErr w:type="spellStart"/>
            <w:r w:rsidRPr="00D231B2">
              <w:t>behavior</w:t>
            </w:r>
            <w:proofErr w:type="spellEnd"/>
            <w:r w:rsidRPr="00D231B2">
              <w:t xml:space="preserve"> interventions targeting U.S. Latino adolescents. Design: A systematic </w:t>
            </w:r>
            <w:r w:rsidRPr="001A5F13">
              <w:t>literature</w:t>
            </w:r>
            <w:r w:rsidRPr="00D231B2">
              <w:t xml:space="preserve"> review. Setting: Peer-reviewed articles published between 1993 and 2011, conducted in any type of setting. Participants: Male and female Latino adolescents ages 11-21 years. Interventions: Interventions </w:t>
            </w:r>
            <w:r w:rsidRPr="00D231B2">
              <w:lastRenderedPageBreak/>
              <w:t xml:space="preserve">promoting sexual abstinence, pregnancy prevention, sexually transmitted infection (STI) prevention, and/or HIV/AIDS prevention. Main Outcome Measures: Changes in knowledge, attitudes, engagement in risky sexual </w:t>
            </w:r>
            <w:proofErr w:type="spellStart"/>
            <w:r w:rsidRPr="00D231B2">
              <w:t>behaviors</w:t>
            </w:r>
            <w:proofErr w:type="spellEnd"/>
            <w:r w:rsidRPr="00D231B2">
              <w:t xml:space="preserve">, rates of STIs, and/or pregnancy. Results: Sixty-eight articles were identified. Fifteen were included in this review that specifically addressed Latino adolescent sexual health </w:t>
            </w:r>
            <w:proofErr w:type="spellStart"/>
            <w:r w:rsidRPr="00D231B2">
              <w:t>behavior</w:t>
            </w:r>
            <w:proofErr w:type="spellEnd"/>
            <w:r w:rsidRPr="00D231B2">
              <w:t xml:space="preserve">. Among the reviewed interventions, most aimed to prevent or reduce STI and HIV/AIDS incidence by focusing on </w:t>
            </w:r>
            <w:proofErr w:type="spellStart"/>
            <w:r w:rsidRPr="00D231B2">
              <w:t>behavior</w:t>
            </w:r>
            <w:proofErr w:type="spellEnd"/>
            <w:r w:rsidRPr="00D231B2">
              <w:t xml:space="preserve"> change at two levels of the social ecological model: individual and interpersonal. Major strengths of the articles included addressing the most critical issues of sexual health; using social ecological approaches; employing different strategies to deliver sexual health messages; and employing different intervention designs in diverse geographical locations with the largest population of Latino communities. Most of the interventions targeted female adolescents, stressing the need for additional interventions that target Latino adolescent males. Conclusions: Latino adolescent sexual health is a new research field with gaps that need to be addressed in reducing negative sexual health outcomes among this population. More research is needed to produce new or validate existing, age-specific, and </w:t>
            </w:r>
            <w:proofErr w:type="gramStart"/>
            <w:r w:rsidRPr="00D231B2">
              <w:t>culturally-sensitive</w:t>
            </w:r>
            <w:proofErr w:type="gramEnd"/>
            <w:r w:rsidRPr="00D231B2">
              <w:t xml:space="preserve"> sexual health interventions for Latino male and female adolescents. Further, this research should also be conducted in areas of the U.S. with the newest Latino migration (e.g., North Carolina). © 2012 North American Society for </w:t>
            </w:r>
            <w:proofErr w:type="spellStart"/>
            <w:r w:rsidRPr="00D231B2">
              <w:t>Pediatric</w:t>
            </w:r>
            <w:proofErr w:type="spellEnd"/>
            <w:r w:rsidRPr="00D231B2">
              <w:t xml:space="preserve"> and Adolescent </w:t>
            </w:r>
            <w:proofErr w:type="spellStart"/>
            <w:r w:rsidRPr="00D231B2">
              <w:t>Gynecology</w:t>
            </w:r>
            <w:proofErr w:type="spellEnd"/>
            <w:r w:rsidRPr="00D231B2">
              <w:t>.</w:t>
            </w:r>
          </w:p>
        </w:tc>
        <w:tc>
          <w:tcPr>
            <w:tcW w:w="0" w:type="auto"/>
          </w:tcPr>
          <w:p w14:paraId="0A961D34" w14:textId="4DC43E5F" w:rsidR="001A5F13" w:rsidRDefault="001A5F13" w:rsidP="001A5F13">
            <w:r>
              <w:lastRenderedPageBreak/>
              <w:t>Latino adolescents, USA (1993 to 2011)</w:t>
            </w:r>
          </w:p>
        </w:tc>
        <w:tc>
          <w:tcPr>
            <w:tcW w:w="2435" w:type="dxa"/>
          </w:tcPr>
          <w:p w14:paraId="36D05791" w14:textId="4B7FE21B" w:rsidR="001A5F13" w:rsidRDefault="001A5F13" w:rsidP="001A5F13">
            <w:r>
              <w:t xml:space="preserve">Interventions targeted conception prevention or STI infection prevention. Interventions assessed </w:t>
            </w:r>
            <w:proofErr w:type="gramStart"/>
            <w:r>
              <w:t>were:</w:t>
            </w:r>
            <w:proofErr w:type="gramEnd"/>
            <w:r>
              <w:t xml:space="preserve"> </w:t>
            </w:r>
            <w:r>
              <w:lastRenderedPageBreak/>
              <w:t>contraception distribution, sex education, community interventions and family-focussed interventions.</w:t>
            </w:r>
          </w:p>
        </w:tc>
        <w:tc>
          <w:tcPr>
            <w:tcW w:w="1413" w:type="dxa"/>
          </w:tcPr>
          <w:p w14:paraId="575C3A4D" w14:textId="77777777" w:rsidR="001A5F13" w:rsidRDefault="001A5F13" w:rsidP="001A5F13"/>
        </w:tc>
        <w:tc>
          <w:tcPr>
            <w:tcW w:w="0" w:type="auto"/>
          </w:tcPr>
          <w:p w14:paraId="3BEB0D10" w14:textId="507298C9" w:rsidR="001A5F13" w:rsidRDefault="001A5F13" w:rsidP="001A5F13">
            <w:r>
              <w:t>Some positive results for varying intervention types. Greater focus on STI prevention in range of studies found.</w:t>
            </w:r>
          </w:p>
        </w:tc>
      </w:tr>
      <w:tr w:rsidR="00E9600C" w14:paraId="498C17B4" w14:textId="77777777" w:rsidTr="00E9600C">
        <w:tc>
          <w:tcPr>
            <w:tcW w:w="0" w:type="auto"/>
          </w:tcPr>
          <w:p w14:paraId="4248A21D" w14:textId="24724D80" w:rsidR="0006541E" w:rsidRDefault="0006541E" w:rsidP="0006541E">
            <w:r>
              <w:fldChar w:fldCharType="begin">
                <w:fldData xml:space="preserve">PEVuZE5vdGU+PENpdGU+PEF1dGhvcj5DaGluPC9BdXRob3I+PFllYXI+MjAxMjwvWWVhcj48UmVj
TnVtPjM1MDc8L1JlY051bT48RGlzcGxheVRleHQ+Q2hpbiBldCBhbC4sIDIwMTI8L0Rpc3BsYXlU
ZXh0PjxyZWNvcmQ+PHJlYy1udW1iZXI+MzUwNzwvcmVjLW51bWJlcj48Zm9yZWlnbi1rZXlzPjxr
ZXkgYXBwPSJFTiIgZGItaWQ9InJyeGE1Znd4YXRzNXo5ZXZ3OXA1dmV0NjlhdGRlOXJmYXpzOSIg
dGltZXN0YW1wPSIxNTMwMDEyNTY2Ij4zNTA3PC9rZXk+PC9mb3JlaWduLWtleXM+PHJlZi10eXBl
IG5hbWU9IkpvdXJuYWwgQXJ0aWNsZSI+MTc8L3JlZi10eXBlPjxjb250cmlidXRvcnM+PGF1dGhv
cnM+PGF1dGhvcj5DaGluLCBILiBCLjwvYXV0aG9yPjxhdXRob3I+U2lwZSwgVC4gQS48L2F1dGhv
cj48YXV0aG9yPkVsZGVyLCBSLjwvYXV0aG9yPjxhdXRob3I+TWVyY2VyLCBTLiBMLjwvYXV0aG9y
PjxhdXRob3I+Q2hhdHRvcGFkaHlheSwgUy4gSy48L2F1dGhvcj48YXV0aG9yPkphY29iLCBWLjwv
YXV0aG9yPjxhdXRob3I+V2V0aGluZ3RvbiwgSC4gUi48L2F1dGhvcj48YXV0aG9yPktpcmJ5LCBE
LjwvYXV0aG9yPjxhdXRob3I+RWxsaXN0b24sIEQuIEIuPC9hdXRob3I+PGF1dGhvcj5HcmlmZml0
aCwgTS48L2F1dGhvcj48YXV0aG9yPkNodWtlLCBTLiBPLjwvYXV0aG9yPjxhdXRob3I+QnJpc3Ms
IFMuIEMuPC9hdXRob3I+PGF1dGhvcj5Fcmlja3NlbiwgSS48L2F1dGhvcj48YXV0aG9yPkdhbGJy
YWl0aCwgSi4gUy48L2F1dGhvcj48YXV0aG9yPkhlcmJzdCwgSi4gSC48L2F1dGhvcj48YXV0aG9y
PkpvaG5zb24sIFIuIEwuPC9hdXRob3I+PGF1dGhvcj5LcmFmdCwgSi4gTS48L2F1dGhvcj48YXV0
aG9yPk5vYXIsIFMuIE0uPC9hdXRob3I+PGF1dGhvcj5Sb21lcm8sIEwuIE0uPC9hdXRob3I+PGF1
dGhvcj5TYW50ZWxsaSwgSi48L2F1dGhvcj48L2F1dGhvcnM+PC9jb250cmlidXRvcnM+PHRpdGxl
cz48dGl0bGU+VGhlIGVmZmVjdGl2ZW5lc3Mgb2YgZ3JvdXAtYmFzZWQgY29tcHJlaGVuc2l2ZSBy
aXNrLXJlZHVjdGlvbiBhbmQgYWJzdGluZW5jZSBlZHVjYXRpb24gaW50ZXJ2ZW50aW9ucyB0byBw
cmV2ZW50IG9yIHJlZHVjZSB0aGUgcmlzayBvZiBhZG9sZXNjZW50IHByZWduYW5jeSwgaHVtYW4g
aW1tdW5vZGVmaWNpZW5jeSB2aXJ1cywgYW5kIHNleHVhbGx5IHRyYW5zbWl0dGVkIGluZmVjdGlv
bnM6IFR3byBzeXN0ZW1hdGljIHJldmlld3MgZm9yIHRoZSBndWlkZSB0byBjb21tdW5pdHkgcHJl
dmVudGl2ZSBzZXJ2aWNlczwvdGl0bGU+PHNlY29uZGFyeS10aXRsZT5BbWVyaWNhbiBKb3VybmFs
IG9mIFByZXZlbnRpdmUgTWVkaWNpbmU8L3NlY29uZGFyeS10aXRsZT48L3RpdGxlcz48cGVyaW9k
aWNhbD48ZnVsbC10aXRsZT5BbWVyaWNhbiBKb3VybmFsIG9mIFByZXZlbnRpdmUgTWVkaWNpbmU8
L2Z1bGwtdGl0bGU+PC9wZXJpb2RpY2FsPjxwYWdlcz4yNzItMjk0PC9wYWdlcz48dm9sdW1lPjQy
PC92b2x1bWU+PG51bWJlcj4zPC9udW1iZXI+PGRhdGVzPjx5ZWFyPjIwMTI8L3llYXI+PC9kYXRl
cz48bGFiZWw+TXVsdGlwbGUgaW50ZXJ2ZW50aW9uczwvbGFiZWw+PHdvcmstdHlwZT5SZXZpZXc8
L3dvcmstdHlwZT48dXJscz48cmVsYXRlZC11cmxzPjx1cmw+aHR0cHM6Ly93d3cuc2NvcHVzLmNv
bS9pbndhcmQvcmVjb3JkLnVyaT9laWQ9Mi1zMi4wLTg0ODYzMTE1MjQ3JmFtcDtkb2k9MTAuMTAx
NiUyZmouYW1lcHJlLjIwMTEuMTEuMDA2JmFtcDtwYXJ0bmVySUQ9NDAmYW1wO21kNT04OWVhODQ0
MTA5NTA1YWQ4NmU4YWQ2OGNmMDE5MDAxODwvdXJsPjx1cmw+aHR0cHM6Ly9hYy5lbHMtY2RuLmNv
bS9TMDc0OTM3OTcxMTAwOTA2OC8xLXMyLjAtUzA3NDkzNzk3MTEwMDkwNjgtbWFpbi5wZGY/X3Rp
ZD04Nzg1NWExMy1jZmE3LTQ1MzgtYTQyMi02NzU5NjMzMTZiOTcmYW1wO2FjZG5hdD0xNTI5OTE5
MjgyXzNjMzc0N2FjOTI1NTU1MzEwNjFhY2M2MzJiYjUwNTYzPC91cmw+PC9yZWxhdGVkLXVybHM+
PC91cmxzPjxlbGVjdHJvbmljLXJlc291cmNlLW51bT4xMC4xMDE2L2ouYW1lcHJlLjIwMTEuMTEu
MDA2PC9lbGVjdHJvbmljLXJlc291cmNlLW51bT48cmVtb3RlLWRhdGFiYXNlLW5hbWU+U2NvcHVz
PC9yZW1vdGUtZGF0YWJhc2UtbmFtZT48L3JlY29yZD48L0NpdGU+PC9FbmROb3RlPn==
</w:fldData>
              </w:fldChar>
            </w:r>
            <w:r>
              <w:instrText xml:space="preserve"> ADDIN EN.CITE </w:instrText>
            </w:r>
            <w:r>
              <w:fldChar w:fldCharType="begin">
                <w:fldData xml:space="preserve">PEVuZE5vdGU+PENpdGU+PEF1dGhvcj5DaGluPC9BdXRob3I+PFllYXI+MjAxMjwvWWVhcj48UmVj
TnVtPjM1MDc8L1JlY051bT48RGlzcGxheVRleHQ+Q2hpbiBldCBhbC4sIDIwMTI8L0Rpc3BsYXlU
ZXh0PjxyZWNvcmQ+PHJlYy1udW1iZXI+MzUwNzwvcmVjLW51bWJlcj48Zm9yZWlnbi1rZXlzPjxr
ZXkgYXBwPSJFTiIgZGItaWQ9InJyeGE1Znd4YXRzNXo5ZXZ3OXA1dmV0NjlhdGRlOXJmYXpzOSIg
dGltZXN0YW1wPSIxNTMwMDEyNTY2Ij4zNTA3PC9rZXk+PC9mb3JlaWduLWtleXM+PHJlZi10eXBl
IG5hbWU9IkpvdXJuYWwgQXJ0aWNsZSI+MTc8L3JlZi10eXBlPjxjb250cmlidXRvcnM+PGF1dGhv
cnM+PGF1dGhvcj5DaGluLCBILiBCLjwvYXV0aG9yPjxhdXRob3I+U2lwZSwgVC4gQS48L2F1dGhv
cj48YXV0aG9yPkVsZGVyLCBSLjwvYXV0aG9yPjxhdXRob3I+TWVyY2VyLCBTLiBMLjwvYXV0aG9y
PjxhdXRob3I+Q2hhdHRvcGFkaHlheSwgUy4gSy48L2F1dGhvcj48YXV0aG9yPkphY29iLCBWLjwv
YXV0aG9yPjxhdXRob3I+V2V0aGluZ3RvbiwgSC4gUi48L2F1dGhvcj48YXV0aG9yPktpcmJ5LCBE
LjwvYXV0aG9yPjxhdXRob3I+RWxsaXN0b24sIEQuIEIuPC9hdXRob3I+PGF1dGhvcj5HcmlmZml0
aCwgTS48L2F1dGhvcj48YXV0aG9yPkNodWtlLCBTLiBPLjwvYXV0aG9yPjxhdXRob3I+QnJpc3Ms
IFMuIEMuPC9hdXRob3I+PGF1dGhvcj5Fcmlja3NlbiwgSS48L2F1dGhvcj48YXV0aG9yPkdhbGJy
YWl0aCwgSi4gUy48L2F1dGhvcj48YXV0aG9yPkhlcmJzdCwgSi4gSC48L2F1dGhvcj48YXV0aG9y
PkpvaG5zb24sIFIuIEwuPC9hdXRob3I+PGF1dGhvcj5LcmFmdCwgSi4gTS48L2F1dGhvcj48YXV0
aG9yPk5vYXIsIFMuIE0uPC9hdXRob3I+PGF1dGhvcj5Sb21lcm8sIEwuIE0uPC9hdXRob3I+PGF1
dGhvcj5TYW50ZWxsaSwgSi48L2F1dGhvcj48L2F1dGhvcnM+PC9jb250cmlidXRvcnM+PHRpdGxl
cz48dGl0bGU+VGhlIGVmZmVjdGl2ZW5lc3Mgb2YgZ3JvdXAtYmFzZWQgY29tcHJlaGVuc2l2ZSBy
aXNrLXJlZHVjdGlvbiBhbmQgYWJzdGluZW5jZSBlZHVjYXRpb24gaW50ZXJ2ZW50aW9ucyB0byBw
cmV2ZW50IG9yIHJlZHVjZSB0aGUgcmlzayBvZiBhZG9sZXNjZW50IHByZWduYW5jeSwgaHVtYW4g
aW1tdW5vZGVmaWNpZW5jeSB2aXJ1cywgYW5kIHNleHVhbGx5IHRyYW5zbWl0dGVkIGluZmVjdGlv
bnM6IFR3byBzeXN0ZW1hdGljIHJldmlld3MgZm9yIHRoZSBndWlkZSB0byBjb21tdW5pdHkgcHJl
dmVudGl2ZSBzZXJ2aWNlczwvdGl0bGU+PHNlY29uZGFyeS10aXRsZT5BbWVyaWNhbiBKb3VybmFs
IG9mIFByZXZlbnRpdmUgTWVkaWNpbmU8L3NlY29uZGFyeS10aXRsZT48L3RpdGxlcz48cGVyaW9k
aWNhbD48ZnVsbC10aXRsZT5BbWVyaWNhbiBKb3VybmFsIG9mIFByZXZlbnRpdmUgTWVkaWNpbmU8
L2Z1bGwtdGl0bGU+PC9wZXJpb2RpY2FsPjxwYWdlcz4yNzItMjk0PC9wYWdlcz48dm9sdW1lPjQy
PC92b2x1bWU+PG51bWJlcj4zPC9udW1iZXI+PGRhdGVzPjx5ZWFyPjIwMTI8L3llYXI+PC9kYXRl
cz48bGFiZWw+TXVsdGlwbGUgaW50ZXJ2ZW50aW9uczwvbGFiZWw+PHdvcmstdHlwZT5SZXZpZXc8
L3dvcmstdHlwZT48dXJscz48cmVsYXRlZC11cmxzPjx1cmw+aHR0cHM6Ly93d3cuc2NvcHVzLmNv
bS9pbndhcmQvcmVjb3JkLnVyaT9laWQ9Mi1zMi4wLTg0ODYzMTE1MjQ3JmFtcDtkb2k9MTAuMTAx
NiUyZmouYW1lcHJlLjIwMTEuMTEuMDA2JmFtcDtwYXJ0bmVySUQ9NDAmYW1wO21kNT04OWVhODQ0
MTA5NTA1YWQ4NmU4YWQ2OGNmMDE5MDAxODwvdXJsPjx1cmw+aHR0cHM6Ly9hYy5lbHMtY2RuLmNv
bS9TMDc0OTM3OTcxMTAwOTA2OC8xLXMyLjAtUzA3NDkzNzk3MTEwMDkwNjgtbWFpbi5wZGY/X3Rp
ZD04Nzg1NWExMy1jZmE3LTQ1MzgtYTQyMi02NzU5NjMzMTZiOTcmYW1wO2FjZG5hdD0xNTI5OTE5
MjgyXzNjMzc0N2FjOTI1NTU1MzEwNjFhY2M2MzJiYjUwNTYzPC91cmw+PC9yZWxhdGVkLXVybHM+
PC91cmxzPjxlbGVjdHJvbmljLXJlc291cmNlLW51bT4xMC4xMDE2L2ouYW1lcHJlLjIwMTEuMTEu
MDA2PC9lbGVjdHJvbmljLXJlc291cmNlLW51bT48cmVtb3RlLWRhdGFiYXNlLW5hbWU+U2NvcHVz
PC9yZW1vdGUtZGF0YWJhc2UtbmFtZT48L3JlY29yZD48L0NpdGU+PC9FbmROb3RlPn==
</w:fldData>
              </w:fldChar>
            </w:r>
            <w:r>
              <w:instrText xml:space="preserve"> ADDIN EN.CITE.DATA </w:instrText>
            </w:r>
            <w:r>
              <w:fldChar w:fldCharType="end"/>
            </w:r>
            <w:r>
              <w:fldChar w:fldCharType="separate"/>
            </w:r>
            <w:r>
              <w:rPr>
                <w:noProof/>
              </w:rPr>
              <w:t>Chin et al., 2012</w:t>
            </w:r>
            <w:r>
              <w:fldChar w:fldCharType="end"/>
            </w:r>
          </w:p>
        </w:tc>
        <w:tc>
          <w:tcPr>
            <w:tcW w:w="1950" w:type="dxa"/>
          </w:tcPr>
          <w:p w14:paraId="4A655F44" w14:textId="20309191" w:rsidR="0006541E" w:rsidRDefault="0006541E" w:rsidP="0006541E">
            <w:r w:rsidRPr="00D231B2">
              <w:t>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w:t>
            </w:r>
          </w:p>
        </w:tc>
        <w:tc>
          <w:tcPr>
            <w:tcW w:w="4681" w:type="dxa"/>
          </w:tcPr>
          <w:p w14:paraId="7694B535" w14:textId="024D3D79" w:rsidR="0006541E" w:rsidRDefault="0006541E" w:rsidP="0006541E">
            <w:pPr>
              <w:pStyle w:val="Abstract"/>
            </w:pPr>
            <w:r w:rsidRPr="00D231B2">
              <w:t xml:space="preserve">Context: Adolescent pregnancy, HIV, and other sexually transmitted infections (STIs) are major public health problems in the U.S. Implementing group-based interventions that address the sexual </w:t>
            </w:r>
            <w:proofErr w:type="spellStart"/>
            <w:r w:rsidRPr="00D231B2">
              <w:t>behavior</w:t>
            </w:r>
            <w:proofErr w:type="spellEnd"/>
            <w:r w:rsidRPr="00D231B2">
              <w:t xml:space="preserve"> of adolescents may reduce the incidence of pregnancy, HIV, and other STIs in this group. Evidence acquisition: Methods for conducting systematic reviews from the Guide to Community Preventive Services were used to synthesize scientific evidence on the effectiveness of two strategies for group-based </w:t>
            </w:r>
            <w:proofErr w:type="spellStart"/>
            <w:r w:rsidRPr="00D231B2">
              <w:t>behavioral</w:t>
            </w:r>
            <w:proofErr w:type="spellEnd"/>
            <w:r w:rsidRPr="00D231B2">
              <w:t xml:space="preserve"> interventions for adolescents: (1) comprehensive risk reduction and (2) abstinence education on preventing pregnancy, HIV, and other STIs. Effectiveness of these interventions was determined by reductions in sexual risk </w:t>
            </w:r>
            <w:proofErr w:type="spellStart"/>
            <w:r w:rsidRPr="00D231B2">
              <w:t>behaviors</w:t>
            </w:r>
            <w:proofErr w:type="spellEnd"/>
            <w:r w:rsidRPr="00D231B2">
              <w:t xml:space="preserve">, pregnancy, HIV, and other STIs and increases in protective sexual </w:t>
            </w:r>
            <w:proofErr w:type="spellStart"/>
            <w:r w:rsidRPr="00D231B2">
              <w:t>behaviors</w:t>
            </w:r>
            <w:proofErr w:type="spellEnd"/>
            <w:r w:rsidRPr="00D231B2">
              <w:t xml:space="preserve">. The literature search identified 6579 citations for comprehensive risk reduction and abstinence education. Of these, 66 studies of comprehensive risk reduction and 23 studies of abstinence education assessed the effects of group-based interventions that address the sexual </w:t>
            </w:r>
            <w:proofErr w:type="spellStart"/>
            <w:r w:rsidRPr="00D231B2">
              <w:t>behavior</w:t>
            </w:r>
            <w:proofErr w:type="spellEnd"/>
            <w:r w:rsidRPr="00D231B2">
              <w:t xml:space="preserve"> of </w:t>
            </w:r>
            <w:proofErr w:type="gramStart"/>
            <w:r w:rsidRPr="00D231B2">
              <w:t>adolescents, and</w:t>
            </w:r>
            <w:proofErr w:type="gramEnd"/>
            <w:r w:rsidRPr="00D231B2">
              <w:t xml:space="preserve"> were included in the respective reviews. Evidence synthesis: Meta-analyses were conducted for each strategy on the seven key outcomes identified by the coordination </w:t>
            </w:r>
            <w:proofErr w:type="spellStart"/>
            <w:r w:rsidRPr="00D231B2">
              <w:t>teamcurrent</w:t>
            </w:r>
            <w:proofErr w:type="spellEnd"/>
            <w:r w:rsidRPr="00D231B2">
              <w:t xml:space="preserve"> sexual activity; frequency of sexual activity; number of sex partners; frequency of unprotected sexual activity; use of protection (condoms and/or hormonal contraception); pregnancy; and STIs. The results of these meta-analyses for comprehensive risk reduction showed </w:t>
            </w:r>
            <w:proofErr w:type="spellStart"/>
            <w:r w:rsidRPr="00D231B2">
              <w:t>favorable</w:t>
            </w:r>
            <w:proofErr w:type="spellEnd"/>
            <w:r w:rsidRPr="00D231B2">
              <w:t xml:space="preserve"> effects for </w:t>
            </w:r>
            <w:proofErr w:type="gramStart"/>
            <w:r w:rsidRPr="00D231B2">
              <w:t>all of</w:t>
            </w:r>
            <w:proofErr w:type="gramEnd"/>
            <w:r w:rsidRPr="00D231B2">
              <w:t xml:space="preserve"> the outcomes reviewed. For abstinence education, the meta-analysis showed a small number of studies, with inconsistent findings across studies that varied by study design and follow-up time, leading to considerable uncertainty around effect estimates. Conclusions: Based on these findings, group-based comprehensive risk reduction was found to be an effective strategy to reduce adolescent pregnancy, HIV, and STIs. No conclusions could be drawn on the effectiveness of group-based abstinence education.</w:t>
            </w:r>
          </w:p>
        </w:tc>
        <w:tc>
          <w:tcPr>
            <w:tcW w:w="0" w:type="auto"/>
          </w:tcPr>
          <w:p w14:paraId="778005DA" w14:textId="771B8A47" w:rsidR="0006541E" w:rsidRDefault="0006541E" w:rsidP="0006541E">
            <w:r>
              <w:t>USA (1988-2007)</w:t>
            </w:r>
          </w:p>
        </w:tc>
        <w:tc>
          <w:tcPr>
            <w:tcW w:w="2435" w:type="dxa"/>
          </w:tcPr>
          <w:p w14:paraId="056D7BCD" w14:textId="26B0A3AB" w:rsidR="0006541E" w:rsidRDefault="0006541E" w:rsidP="0006541E">
            <w:r>
              <w:t>‘Comprehensive risk reduction’ interventions (including abstinence-based) were compared to ‘abstinence education’ interventions (abstinence-only). Both took place in community and school settings, with adult or adult-and-peer facilitators.</w:t>
            </w:r>
          </w:p>
        </w:tc>
        <w:tc>
          <w:tcPr>
            <w:tcW w:w="1413" w:type="dxa"/>
          </w:tcPr>
          <w:p w14:paraId="7026DDBB" w14:textId="77777777" w:rsidR="0006541E" w:rsidRDefault="0006541E" w:rsidP="0006541E"/>
        </w:tc>
        <w:tc>
          <w:tcPr>
            <w:tcW w:w="0" w:type="auto"/>
          </w:tcPr>
          <w:p w14:paraId="73434FA1" w14:textId="7AD8F473" w:rsidR="0006541E" w:rsidRDefault="0006541E" w:rsidP="0006541E">
            <w:r>
              <w:t>Comprehensive strategies reduced risk-behaviours, with no clear effect on pregnancy.</w:t>
            </w:r>
          </w:p>
          <w:p w14:paraId="543327D6" w14:textId="2CFBB98F" w:rsidR="0006541E" w:rsidRDefault="0006541E" w:rsidP="0006541E">
            <w:r>
              <w:t xml:space="preserve">Abstinence-only strategies reduced sexual </w:t>
            </w:r>
            <w:proofErr w:type="gramStart"/>
            <w:r>
              <w:t>activity, but</w:t>
            </w:r>
            <w:proofErr w:type="gramEnd"/>
            <w:r>
              <w:t xml:space="preserve"> had no clear effects in other areas.</w:t>
            </w:r>
          </w:p>
        </w:tc>
      </w:tr>
      <w:tr w:rsidR="00E9600C" w14:paraId="3D5B0033" w14:textId="77777777" w:rsidTr="00E9600C">
        <w:trPr>
          <w:cnfStyle w:val="000000100000" w:firstRow="0" w:lastRow="0" w:firstColumn="0" w:lastColumn="0" w:oddVBand="0" w:evenVBand="0" w:oddHBand="1" w:evenHBand="0" w:firstRowFirstColumn="0" w:firstRowLastColumn="0" w:lastRowFirstColumn="0" w:lastRowLastColumn="0"/>
        </w:trPr>
        <w:tc>
          <w:tcPr>
            <w:tcW w:w="0" w:type="auto"/>
          </w:tcPr>
          <w:p w14:paraId="29B71773" w14:textId="166AB7A1" w:rsidR="00E9600C" w:rsidRDefault="00E9600C" w:rsidP="00E9600C">
            <w:r>
              <w:fldChar w:fldCharType="begin"/>
            </w:r>
            <w:r>
              <w:instrText xml:space="preserve"> ADDIN EN.CITE &lt;EndNote&gt;&lt;Cite&gt;&lt;Author&gt;Dean&lt;/Author&gt;&lt;Year&gt;2014&lt;/Year&gt;&lt;RecNum&gt;3353&lt;/RecNum&gt;&lt;DisplayText&gt;Dean et al., 2014&lt;/DisplayText&gt;&lt;record&gt;&lt;rec-number&gt;3353&lt;/rec-number&gt;&lt;foreign-keys&gt;&lt;key app="EN" db-id="rrxa5fwxats5z9evw9p5vet69atde9rfazs9" timestamp="1530012556"&gt;3353&lt;/key&gt;&lt;/foreign-keys&gt;&lt;ref-type name="Journal Article"&gt;17&lt;/ref-type&gt;&lt;contributors&gt;&lt;authors&gt;&lt;author&gt;Dean, S. V.&lt;/author&gt;&lt;author&gt;Lassi, Z. S.&lt;/author&gt;&lt;author&gt;Imam, A. M.&lt;/author&gt;&lt;author&gt;Bhutta, Z. A.&lt;/author&gt;&lt;/authors&gt;&lt;/contributors&gt;&lt;titles&gt;&lt;title&gt;Preconception care: Promoting reproductive planning&lt;/title&gt;&lt;secondary-title&gt;Reproductive Health&lt;/secondary-title&gt;&lt;/titles&gt;&lt;periodical&gt;&lt;full-title&gt;Reproductive Health&lt;/full-title&gt;&lt;/periodical&gt;&lt;volume&gt;11&lt;/volume&gt;&lt;dates&gt;&lt;year&gt;2014&lt;/year&gt;&lt;/dates&gt;&lt;label&gt;Multiple interventions&lt;/label&gt;&lt;work-type&gt;Article&lt;/work-type&gt;&lt;urls&gt;&lt;related-urls&gt;&lt;url&gt;https://www.scopus.com/inward/record.uri?eid=2-s2.0-84907434221&amp;amp;doi=10.1186%2f1742-4755-11-S3-S2&amp;amp;partnerID=40&amp;amp;md5=1323d57062e5ffc4defa7fcb6077bd5b&lt;/url&gt;&lt;/related-urls&gt;&lt;/urls&gt;&lt;custom7&gt;S2&lt;/custom7&gt;&lt;electronic-resource-num&gt;10.1186/1742-4755-11-S3-S2&lt;/electronic-resource-num&gt;&lt;remote-database-name&gt;Scopus&lt;/remote-database-name&gt;&lt;/record&gt;&lt;/Cite&gt;&lt;/EndNote&gt;</w:instrText>
            </w:r>
            <w:r>
              <w:fldChar w:fldCharType="separate"/>
            </w:r>
            <w:r>
              <w:rPr>
                <w:noProof/>
              </w:rPr>
              <w:t>Dean et al., 2014</w:t>
            </w:r>
            <w:r>
              <w:fldChar w:fldCharType="end"/>
            </w:r>
          </w:p>
        </w:tc>
        <w:tc>
          <w:tcPr>
            <w:tcW w:w="1950" w:type="dxa"/>
          </w:tcPr>
          <w:p w14:paraId="5ABAC57D" w14:textId="76232065" w:rsidR="00E9600C" w:rsidRDefault="00E9600C" w:rsidP="00E9600C">
            <w:r w:rsidRPr="00D231B2">
              <w:t>Preconception care: Promoting reproductive planning</w:t>
            </w:r>
          </w:p>
        </w:tc>
        <w:tc>
          <w:tcPr>
            <w:tcW w:w="4681" w:type="dxa"/>
          </w:tcPr>
          <w:p w14:paraId="17A9D479" w14:textId="3C9EAD04" w:rsidR="00E9600C" w:rsidRDefault="00E9600C" w:rsidP="00E9600C">
            <w:pPr>
              <w:pStyle w:val="Abstract"/>
            </w:pPr>
            <w:r w:rsidRPr="00D231B2">
              <w:t xml:space="preserve">Introduction. Preconception care recognizes that many adolescent girls and young women will be thrust into motherhood without the knowledge, skills or support they need. Sixty million adolescents give birth each year worldwide, even though pregnancy in adolescence has mortality rates at least twice as high as pregnancy in women aged 20-29 years. Reproductive planning and contraceptive use can prevent unintended pregnancies, unsafe abortions and </w:t>
            </w:r>
            <w:proofErr w:type="gramStart"/>
            <w:r w:rsidRPr="00D231B2">
              <w:t>sexually-transmitted</w:t>
            </w:r>
            <w:proofErr w:type="gramEnd"/>
            <w:r w:rsidRPr="00D231B2">
              <w:t xml:space="preserve"> infections in adolescent girls and women. Smaller families also mean better nutrition and development opportunities, yet 222 million couples continue to lack access to modern contraception. Results: </w:t>
            </w:r>
            <w:r w:rsidRPr="00D231B2">
              <w:lastRenderedPageBreak/>
              <w:t xml:space="preserve">Comprehensive interventions can prevent first pregnancy in adolescence by 15% and repeat adolescent pregnancy by 37%. Such interventions should address underlying social and community factors, include sexual and reproductive health services, contraceptive provision; personal development programs and emphasizes completion of education. Appropriate birth spacing (18-24 months from birth to next pregnancy compared to short intervals &lt;6 months) can significantly lower maternal mortality, preterm births, stillbirths, low birth weight and early neonatal deaths. Method. A systematic review and meta-analysis of the evidence was conducted to ascertain the possible impact of preconception care for adolescents, women and couples of reproductive </w:t>
            </w:r>
            <w:proofErr w:type="gramStart"/>
            <w:r w:rsidRPr="00D231B2">
              <w:t>age</w:t>
            </w:r>
            <w:proofErr w:type="gramEnd"/>
            <w:r w:rsidRPr="00D231B2">
              <w:t xml:space="preserve"> on MNCH outcomes. A comprehensive strategy was used to search electronic reference libraries, and both observational and clinical controlled trials were included. Cross-referencing and a separate search strategy for each preconception risk and intervention ensured wider study capture. Conclusion: Improving adolescent health and preventing adolescent pregnancy; and promotion of birth spacing through increasing correct and consistent use of effective contraception are fundamental to preconception care. Promoting reproductive planning on a wider scale is closely interlinked with the reliable provision of effective contraception, however, innovative strategies will need to be devised, or existing strategies such as community-based health workers and peer educators may be expanded, to encourage girls and women to plan their families. © 2014Dean et al; licensee BioMed Central Ltd.</w:t>
            </w:r>
          </w:p>
        </w:tc>
        <w:tc>
          <w:tcPr>
            <w:tcW w:w="0" w:type="auto"/>
          </w:tcPr>
          <w:p w14:paraId="700B5F75" w14:textId="12746DED" w:rsidR="00E9600C" w:rsidRDefault="00E9600C" w:rsidP="00E9600C"/>
        </w:tc>
        <w:tc>
          <w:tcPr>
            <w:tcW w:w="2435" w:type="dxa"/>
          </w:tcPr>
          <w:p w14:paraId="7F59ECAF" w14:textId="77777777" w:rsidR="00E9600C" w:rsidRDefault="00E9600C" w:rsidP="00E9600C"/>
        </w:tc>
        <w:tc>
          <w:tcPr>
            <w:tcW w:w="1413" w:type="dxa"/>
          </w:tcPr>
          <w:p w14:paraId="03C8A4A5" w14:textId="77777777" w:rsidR="00E9600C" w:rsidRDefault="00E9600C" w:rsidP="00E9600C"/>
        </w:tc>
        <w:tc>
          <w:tcPr>
            <w:tcW w:w="0" w:type="auto"/>
          </w:tcPr>
          <w:p w14:paraId="37D9E60B" w14:textId="5124972E" w:rsidR="00E9600C" w:rsidRDefault="00E9600C" w:rsidP="00E9600C"/>
        </w:tc>
      </w:tr>
    </w:tbl>
    <w:p w14:paraId="7DC6F8CA" w14:textId="77777777" w:rsidR="00924290" w:rsidRDefault="00924290"/>
    <w:p w14:paraId="1159589F" w14:textId="4C9DAFDE" w:rsidR="00924290" w:rsidRDefault="00F85042" w:rsidP="00F85042">
      <w:pPr>
        <w:pStyle w:val="Heading1"/>
      </w:pPr>
      <w:r>
        <w:t>Papers addressing parent-adolescent communication</w:t>
      </w:r>
    </w:p>
    <w:tbl>
      <w:tblPr>
        <w:tblStyle w:val="PlainTable4"/>
        <w:tblW w:w="0" w:type="auto"/>
        <w:tblLook w:val="0420" w:firstRow="1" w:lastRow="0" w:firstColumn="0" w:lastColumn="0" w:noHBand="0" w:noVBand="1"/>
      </w:tblPr>
      <w:tblGrid>
        <w:gridCol w:w="2928"/>
        <w:gridCol w:w="3091"/>
        <w:gridCol w:w="2975"/>
        <w:gridCol w:w="2757"/>
        <w:gridCol w:w="3045"/>
      </w:tblGrid>
      <w:tr w:rsidR="00F85042" w14:paraId="75170391" w14:textId="77777777" w:rsidTr="00F85042">
        <w:trPr>
          <w:cnfStyle w:val="100000000000" w:firstRow="1" w:lastRow="0" w:firstColumn="0" w:lastColumn="0" w:oddVBand="0" w:evenVBand="0" w:oddHBand="0" w:evenHBand="0" w:firstRowFirstColumn="0" w:firstRowLastColumn="0" w:lastRowFirstColumn="0" w:lastRowLastColumn="0"/>
        </w:trPr>
        <w:tc>
          <w:tcPr>
            <w:tcW w:w="2928" w:type="dxa"/>
          </w:tcPr>
          <w:p w14:paraId="5EA5049A" w14:textId="77777777" w:rsidR="00F85042" w:rsidRDefault="00F85042" w:rsidP="005E2D5A">
            <w:r>
              <w:t>Paper</w:t>
            </w:r>
          </w:p>
        </w:tc>
        <w:tc>
          <w:tcPr>
            <w:tcW w:w="3091" w:type="dxa"/>
          </w:tcPr>
          <w:p w14:paraId="7BAE6467" w14:textId="0D931691" w:rsidR="00F85042" w:rsidRDefault="00F85042" w:rsidP="005E2D5A">
            <w:proofErr w:type="spellStart"/>
            <w:r>
              <w:t>Popluation</w:t>
            </w:r>
            <w:proofErr w:type="spellEnd"/>
          </w:p>
        </w:tc>
        <w:tc>
          <w:tcPr>
            <w:tcW w:w="2975" w:type="dxa"/>
          </w:tcPr>
          <w:p w14:paraId="6C4EC92A" w14:textId="77777777" w:rsidR="00F85042" w:rsidRDefault="00F85042" w:rsidP="005E2D5A">
            <w:r>
              <w:t>Interventions assessed</w:t>
            </w:r>
          </w:p>
        </w:tc>
        <w:tc>
          <w:tcPr>
            <w:tcW w:w="2757" w:type="dxa"/>
          </w:tcPr>
          <w:p w14:paraId="3826C9F7" w14:textId="4F0BDB79" w:rsidR="00F85042" w:rsidRDefault="00F85042" w:rsidP="005E2D5A">
            <w:r>
              <w:t>Context</w:t>
            </w:r>
          </w:p>
        </w:tc>
        <w:tc>
          <w:tcPr>
            <w:tcW w:w="3045" w:type="dxa"/>
          </w:tcPr>
          <w:p w14:paraId="258832F1" w14:textId="05736CEF" w:rsidR="00F85042" w:rsidRDefault="00F85042" w:rsidP="005E2D5A">
            <w:r>
              <w:t>Findings</w:t>
            </w:r>
          </w:p>
        </w:tc>
      </w:tr>
      <w:tr w:rsidR="00F85042" w14:paraId="14D11D4B" w14:textId="77777777" w:rsidTr="00F85042">
        <w:trPr>
          <w:cnfStyle w:val="000000100000" w:firstRow="0" w:lastRow="0" w:firstColumn="0" w:lastColumn="0" w:oddVBand="0" w:evenVBand="0" w:oddHBand="1" w:evenHBand="0" w:firstRowFirstColumn="0" w:firstRowLastColumn="0" w:lastRowFirstColumn="0" w:lastRowLastColumn="0"/>
        </w:trPr>
        <w:tc>
          <w:tcPr>
            <w:tcW w:w="2928" w:type="dxa"/>
          </w:tcPr>
          <w:p w14:paraId="474749D2" w14:textId="1843D6FD" w:rsidR="00F85042" w:rsidRDefault="00F85042" w:rsidP="00F85042">
            <w:r>
              <w:fldChar w:fldCharType="begin"/>
            </w:r>
            <w:r w:rsidR="00B50D02">
              <w:instrText xml:space="preserve"> ADDIN EN.CITE &lt;EndNote&gt;&lt;Cite&gt;&lt;Author&gt;Gavin&lt;/Author&gt;&lt;Year&gt;2015&lt;/Year&gt;&lt;RecNum&gt;3504&lt;/RecNum&gt;&lt;DisplayText&gt;Gavin et al., 2015&lt;/DisplayText&gt;&lt;record&gt;&lt;rec-number&gt;3504&lt;/rec-number&gt;&lt;foreign-keys&gt;&lt;key app="EN" db-id="rrxa5fwxats5z9evw9p5vet69atde9rfazs9" timestamp="1530012565"&gt;3504&lt;/key&gt;&lt;/foreign-keys&gt;&lt;ref-type name="Journal Article"&gt;17&lt;/ref-type&gt;&lt;contributors&gt;&lt;authors&gt;&lt;author&gt;Gavin, L. E.&lt;/author&gt;&lt;author&gt;Williams, J. R.&lt;/author&gt;&lt;author&gt;Rivera, M. I.&lt;/author&gt;&lt;author&gt;Lachance, C. R.&lt;/author&gt;&lt;/authors&gt;&lt;/contributors&gt;&lt;titles&gt;&lt;title&gt;Programs to Strengthen Parent-Adolescent Communication about Reproductive Health: A Systematic Review&lt;/title&gt;&lt;secondary-title&gt;American Journal of Preventive Medicine&lt;/secondary-title&gt;&lt;/titles&gt;&lt;periodical&gt;&lt;full-title&gt;American Journal of Preventive Medicine&lt;/full-title&gt;&lt;/periodical&gt;&lt;pages&gt;S65-S72&lt;/pages&gt;&lt;volume&gt;49&lt;/volume&gt;&lt;number&gt;2&lt;/number&gt;&lt;dates&gt;&lt;year&gt;2015&lt;/year&gt;&lt;/dates&gt;&lt;label&gt;Parent/Family engagement&lt;/label&gt;&lt;work-type&gt;Article&lt;/work-type&gt;&lt;urls&gt;&lt;related-urls&gt;&lt;url&gt;https://www.scopus.com/inward/record.uri?eid=2-s2.0-84937510503&amp;amp;doi=10.1016%2fj.amepre.2015.03.022&amp;amp;partnerID=40&amp;amp;md5=82fb75ee0ef95923dbae297b35437ef7&lt;/url&gt;&lt;url&gt;https://ac.els-cdn.com/S0749379715001440/1-s2.0-S0749379715001440-main.pdf?_tid=71075986-42f7-4e63-ba77-bea26c47c665&amp;amp;acdnat=1529919290_68fe860e086bf456a4c6166abdd8c54c&lt;/url&gt;&lt;/related-urls&gt;&lt;/urls&gt;&lt;electronic-resource-num&gt;10.1016/j.amepre.2015.03.022&lt;/electronic-resource-num&gt;&lt;remote-database-name&gt;Scopus&lt;/remote-database-name&gt;&lt;/record&gt;&lt;/Cite&gt;&lt;/EndNote&gt;</w:instrText>
            </w:r>
            <w:r>
              <w:fldChar w:fldCharType="separate"/>
            </w:r>
            <w:r>
              <w:rPr>
                <w:noProof/>
              </w:rPr>
              <w:t>Gavin et al., 2015</w:t>
            </w:r>
            <w:r>
              <w:fldChar w:fldCharType="end"/>
            </w:r>
          </w:p>
        </w:tc>
        <w:tc>
          <w:tcPr>
            <w:tcW w:w="3091" w:type="dxa"/>
          </w:tcPr>
          <w:p w14:paraId="14E7CD8A" w14:textId="4D8B04F1" w:rsidR="00F85042" w:rsidRDefault="00F85042" w:rsidP="005E2D5A">
            <w:r>
              <w:t>(English language) search 1985-2011</w:t>
            </w:r>
          </w:p>
        </w:tc>
        <w:tc>
          <w:tcPr>
            <w:tcW w:w="2975" w:type="dxa"/>
          </w:tcPr>
          <w:p w14:paraId="1BC4EF37" w14:textId="77777777" w:rsidR="00F85042" w:rsidRDefault="00F85042" w:rsidP="005E2D5A"/>
        </w:tc>
        <w:tc>
          <w:tcPr>
            <w:tcW w:w="2757" w:type="dxa"/>
          </w:tcPr>
          <w:p w14:paraId="1428BE3B" w14:textId="77777777" w:rsidR="00F85042" w:rsidRDefault="00F85042" w:rsidP="005E2D5A"/>
        </w:tc>
        <w:tc>
          <w:tcPr>
            <w:tcW w:w="3045" w:type="dxa"/>
          </w:tcPr>
          <w:p w14:paraId="6D19E0C7" w14:textId="431EEAF6" w:rsidR="00F85042" w:rsidRDefault="00F85042" w:rsidP="005E2D5A"/>
        </w:tc>
      </w:tr>
    </w:tbl>
    <w:p w14:paraId="5870A57F" w14:textId="77777777" w:rsidR="00F85042" w:rsidRPr="00F85042" w:rsidRDefault="00F85042" w:rsidP="00F85042">
      <w:pPr>
        <w:pStyle w:val="BodyText"/>
      </w:pPr>
    </w:p>
    <w:p w14:paraId="60209D05" w14:textId="77777777" w:rsidR="00297D20" w:rsidRPr="00297D20" w:rsidRDefault="00924290" w:rsidP="00297D20">
      <w:pPr>
        <w:pStyle w:val="EndNoteBibliography"/>
        <w:spacing w:after="0"/>
        <w:ind w:left="720" w:hanging="720"/>
      </w:pPr>
      <w:r>
        <w:fldChar w:fldCharType="begin"/>
      </w:r>
      <w:r>
        <w:instrText xml:space="preserve"> ADDIN EN.REFLIST </w:instrText>
      </w:r>
      <w:r>
        <w:fldChar w:fldCharType="separate"/>
      </w:r>
      <w:r w:rsidR="00297D20" w:rsidRPr="00297D20">
        <w:t xml:space="preserve">Beltz, M. A., Sacks, V. H., Moore, K. A. &amp; Terzian, M. 2015. State policy and teen childbearing: A review of research studies. </w:t>
      </w:r>
      <w:r w:rsidR="00297D20" w:rsidRPr="00297D20">
        <w:rPr>
          <w:i/>
        </w:rPr>
        <w:t>Journal of Adolescent Health,</w:t>
      </w:r>
      <w:r w:rsidR="00297D20" w:rsidRPr="00297D20">
        <w:t xml:space="preserve"> Part S. 56</w:t>
      </w:r>
      <w:r w:rsidR="00297D20" w:rsidRPr="00297D20">
        <w:rPr>
          <w:b/>
        </w:rPr>
        <w:t>,</w:t>
      </w:r>
      <w:r w:rsidR="00297D20" w:rsidRPr="00297D20">
        <w:t xml:space="preserve"> 130-138.</w:t>
      </w:r>
    </w:p>
    <w:p w14:paraId="7F9DEED4" w14:textId="77777777" w:rsidR="00297D20" w:rsidRPr="00297D20" w:rsidRDefault="00297D20" w:rsidP="00297D20">
      <w:pPr>
        <w:pStyle w:val="EndNoteBibliography"/>
        <w:spacing w:after="0"/>
        <w:ind w:left="720" w:hanging="720"/>
      </w:pPr>
      <w:r w:rsidRPr="00297D20">
        <w:t xml:space="preserve">Brittain, A. W., Williams, J. R., Zapata, L. B., Pazol, K., Romero, L. M. &amp; Weik, T. S. 2015. Youth-Friendly Family Planning Services for Young People: A Systematic Review. </w:t>
      </w:r>
      <w:r w:rsidRPr="00297D20">
        <w:rPr>
          <w:i/>
        </w:rPr>
        <w:t>American Journal of Preventive Medicine,</w:t>
      </w:r>
      <w:r w:rsidRPr="00297D20">
        <w:t xml:space="preserve"> 49</w:t>
      </w:r>
      <w:r w:rsidRPr="00297D20">
        <w:rPr>
          <w:b/>
        </w:rPr>
        <w:t>,</w:t>
      </w:r>
      <w:r w:rsidRPr="00297D20">
        <w:t xml:space="preserve"> S73-S84.</w:t>
      </w:r>
    </w:p>
    <w:p w14:paraId="2E1692E5" w14:textId="77777777" w:rsidR="00297D20" w:rsidRPr="00297D20" w:rsidRDefault="00297D20" w:rsidP="00297D20">
      <w:pPr>
        <w:pStyle w:val="EndNoteBibliography"/>
        <w:spacing w:after="0"/>
        <w:ind w:left="720" w:hanging="720"/>
      </w:pPr>
      <w:r w:rsidRPr="00297D20">
        <w:t xml:space="preserve">Cardoza, V. J., Documét, P. I., Fryer, C. S., Gold, M. A. &amp; Butler, J. 2012. Sexual Health Behavior Interventions for U.S. Latino Adolescents: A Systematic Review of the Literature. </w:t>
      </w:r>
      <w:r w:rsidRPr="00297D20">
        <w:rPr>
          <w:i/>
        </w:rPr>
        <w:t>Journal of Pediatric and Adolescent Gynecology,</w:t>
      </w:r>
      <w:r w:rsidRPr="00297D20">
        <w:t xml:space="preserve"> 25</w:t>
      </w:r>
      <w:r w:rsidRPr="00297D20">
        <w:rPr>
          <w:b/>
        </w:rPr>
        <w:t>,</w:t>
      </w:r>
      <w:r w:rsidRPr="00297D20">
        <w:t xml:space="preserve"> 136-149.</w:t>
      </w:r>
    </w:p>
    <w:p w14:paraId="19F68C32" w14:textId="77777777" w:rsidR="00297D20" w:rsidRPr="00297D20" w:rsidRDefault="00297D20" w:rsidP="00297D20">
      <w:pPr>
        <w:pStyle w:val="EndNoteBibliography"/>
        <w:spacing w:after="0"/>
        <w:ind w:left="720" w:hanging="720"/>
      </w:pPr>
      <w:r w:rsidRPr="00297D20">
        <w:t xml:space="preserve">Chin, H. B., Sipe, T. A., Elder, R., Mercer, S. L., Chattopadhyay, S. K., Jacob, V., Wethington, H. R., Kirby, D., Elliston, D. B., Griffith, M., Chuke, S. O., Briss, S. C., Ericksen, I., Galbraith, J. S., Herbst, J. H., Johnson, R. L., Kraft, J. M., Noar, S. M., Romero, L. M. &amp; Santelli, J. 2012. 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 </w:t>
      </w:r>
      <w:r w:rsidRPr="00297D20">
        <w:rPr>
          <w:i/>
        </w:rPr>
        <w:t>American Journal of Preventive Medicine,</w:t>
      </w:r>
      <w:r w:rsidRPr="00297D20">
        <w:t xml:space="preserve"> 42</w:t>
      </w:r>
      <w:r w:rsidRPr="00297D20">
        <w:rPr>
          <w:b/>
        </w:rPr>
        <w:t>,</w:t>
      </w:r>
      <w:r w:rsidRPr="00297D20">
        <w:t xml:space="preserve"> 272-294.</w:t>
      </w:r>
    </w:p>
    <w:p w14:paraId="50AD9057" w14:textId="77777777" w:rsidR="00297D20" w:rsidRPr="00297D20" w:rsidRDefault="00297D20" w:rsidP="00297D20">
      <w:pPr>
        <w:pStyle w:val="EndNoteBibliography"/>
        <w:spacing w:after="0"/>
        <w:ind w:left="720" w:hanging="720"/>
      </w:pPr>
      <w:r w:rsidRPr="00297D20">
        <w:t xml:space="preserve">Dean, S. V., Lassi, Z. S., Imam, A. M. &amp; Bhutta, Z. A. 2014. Preconception care: Promoting reproductive planning. </w:t>
      </w:r>
      <w:r w:rsidRPr="00297D20">
        <w:rPr>
          <w:i/>
        </w:rPr>
        <w:t>Reproductive Health,</w:t>
      </w:r>
      <w:r w:rsidRPr="00297D20">
        <w:t xml:space="preserve"> 11.</w:t>
      </w:r>
    </w:p>
    <w:p w14:paraId="33641595" w14:textId="77777777" w:rsidR="00297D20" w:rsidRPr="00297D20" w:rsidRDefault="00297D20" w:rsidP="00297D20">
      <w:pPr>
        <w:pStyle w:val="EndNoteBibliography"/>
        <w:ind w:left="720" w:hanging="720"/>
      </w:pPr>
      <w:r w:rsidRPr="00297D20">
        <w:t xml:space="preserve">Gavin, L. E., Williams, J. R., Rivera, M. I. &amp; Lachance, C. R. 2015. Programs to Strengthen Parent-Adolescent Communication about Reproductive Health: A Systematic Review. </w:t>
      </w:r>
      <w:r w:rsidRPr="00297D20">
        <w:rPr>
          <w:i/>
        </w:rPr>
        <w:t>American Journal of Preventive Medicine,</w:t>
      </w:r>
      <w:r w:rsidRPr="00297D20">
        <w:t xml:space="preserve"> 49</w:t>
      </w:r>
      <w:r w:rsidRPr="00297D20">
        <w:rPr>
          <w:b/>
        </w:rPr>
        <w:t>,</w:t>
      </w:r>
      <w:r w:rsidRPr="00297D20">
        <w:t xml:space="preserve"> S65-S72.</w:t>
      </w:r>
    </w:p>
    <w:p w14:paraId="058C2558" w14:textId="3F305040" w:rsidR="00F67B48" w:rsidRDefault="00924290" w:rsidP="00297D20">
      <w:r>
        <w:fldChar w:fldCharType="end"/>
      </w:r>
    </w:p>
    <w:sectPr w:rsidR="00F67B48" w:rsidSect="00600DA8">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8533A" w14:textId="77777777" w:rsidR="006D58BA" w:rsidRDefault="006D58BA" w:rsidP="00872BE5">
      <w:pPr>
        <w:spacing w:after="0" w:line="240" w:lineRule="auto"/>
      </w:pPr>
      <w:r>
        <w:separator/>
      </w:r>
    </w:p>
  </w:endnote>
  <w:endnote w:type="continuationSeparator" w:id="0">
    <w:p w14:paraId="42A4EA2A" w14:textId="77777777" w:rsidR="006D58BA" w:rsidRDefault="006D58BA" w:rsidP="0087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5A266" w14:textId="77777777" w:rsidR="006D58BA" w:rsidRDefault="006D58BA" w:rsidP="00872BE5">
      <w:pPr>
        <w:spacing w:after="0" w:line="240" w:lineRule="auto"/>
      </w:pPr>
      <w:r>
        <w:separator/>
      </w:r>
    </w:p>
  </w:footnote>
  <w:footnote w:type="continuationSeparator" w:id="0">
    <w:p w14:paraId="1B2803D1" w14:textId="77777777" w:rsidR="006D58BA" w:rsidRDefault="006D58BA" w:rsidP="00872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1" w15:restartNumberingAfterBreak="0">
    <w:nsid w:val="7BD8644E"/>
    <w:multiLevelType w:val="hybridMultilevel"/>
    <w:tmpl w:val="B888E3C8"/>
    <w:lvl w:ilvl="0" w:tplc="CEC032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xa5fwxats5z9evw9p5vet69atde9rfazs9&quot;&gt;screening library&lt;record-ids&gt;&lt;item&gt;3353&lt;/item&gt;&lt;item&gt;3452&lt;/item&gt;&lt;item&gt;3463&lt;/item&gt;&lt;item&gt;3504&lt;/item&gt;&lt;item&gt;3505&lt;/item&gt;&lt;item&gt;3507&lt;/item&gt;&lt;/record-ids&gt;&lt;/item&gt;&lt;/Libraries&gt;"/>
  </w:docVars>
  <w:rsids>
    <w:rsidRoot w:val="000F51CD"/>
    <w:rsid w:val="00013AFC"/>
    <w:rsid w:val="000144B6"/>
    <w:rsid w:val="0006541E"/>
    <w:rsid w:val="000C7A28"/>
    <w:rsid w:val="000D7DBC"/>
    <w:rsid w:val="000E074B"/>
    <w:rsid w:val="000F51CD"/>
    <w:rsid w:val="000F7298"/>
    <w:rsid w:val="00167F20"/>
    <w:rsid w:val="00183679"/>
    <w:rsid w:val="001A5F13"/>
    <w:rsid w:val="001D08EE"/>
    <w:rsid w:val="00250101"/>
    <w:rsid w:val="00297D20"/>
    <w:rsid w:val="002F4428"/>
    <w:rsid w:val="003212DD"/>
    <w:rsid w:val="00376010"/>
    <w:rsid w:val="00393449"/>
    <w:rsid w:val="003C74D6"/>
    <w:rsid w:val="00413CAE"/>
    <w:rsid w:val="00457EBD"/>
    <w:rsid w:val="00464C9A"/>
    <w:rsid w:val="0049020B"/>
    <w:rsid w:val="004A4933"/>
    <w:rsid w:val="005369D8"/>
    <w:rsid w:val="0056517B"/>
    <w:rsid w:val="005737CC"/>
    <w:rsid w:val="005A7629"/>
    <w:rsid w:val="005A7EE0"/>
    <w:rsid w:val="005D0834"/>
    <w:rsid w:val="00600DA8"/>
    <w:rsid w:val="00600E65"/>
    <w:rsid w:val="00626C76"/>
    <w:rsid w:val="006935C9"/>
    <w:rsid w:val="00697BBB"/>
    <w:rsid w:val="006D58BA"/>
    <w:rsid w:val="006F386A"/>
    <w:rsid w:val="007048C9"/>
    <w:rsid w:val="00716A62"/>
    <w:rsid w:val="00763187"/>
    <w:rsid w:val="007A44BC"/>
    <w:rsid w:val="007B6935"/>
    <w:rsid w:val="00872BE5"/>
    <w:rsid w:val="009169E4"/>
    <w:rsid w:val="00922405"/>
    <w:rsid w:val="00924290"/>
    <w:rsid w:val="00966932"/>
    <w:rsid w:val="0098586E"/>
    <w:rsid w:val="00995C95"/>
    <w:rsid w:val="009A209F"/>
    <w:rsid w:val="009D0369"/>
    <w:rsid w:val="00A44CBE"/>
    <w:rsid w:val="00A7197A"/>
    <w:rsid w:val="00AD68AD"/>
    <w:rsid w:val="00B50D02"/>
    <w:rsid w:val="00BA0DF5"/>
    <w:rsid w:val="00BA2EDD"/>
    <w:rsid w:val="00BC1F9A"/>
    <w:rsid w:val="00BD1821"/>
    <w:rsid w:val="00BE12F1"/>
    <w:rsid w:val="00C11108"/>
    <w:rsid w:val="00C1645F"/>
    <w:rsid w:val="00C51B0E"/>
    <w:rsid w:val="00C52EFC"/>
    <w:rsid w:val="00C6187E"/>
    <w:rsid w:val="00D43EDC"/>
    <w:rsid w:val="00D62462"/>
    <w:rsid w:val="00DA1954"/>
    <w:rsid w:val="00DB678A"/>
    <w:rsid w:val="00E069B1"/>
    <w:rsid w:val="00E37D7F"/>
    <w:rsid w:val="00E43E5A"/>
    <w:rsid w:val="00E62E80"/>
    <w:rsid w:val="00E90870"/>
    <w:rsid w:val="00E9600C"/>
    <w:rsid w:val="00F53816"/>
    <w:rsid w:val="00F66D67"/>
    <w:rsid w:val="00F67B48"/>
    <w:rsid w:val="00F85042"/>
    <w:rsid w:val="00FF39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342D"/>
  <w15:chartTrackingRefBased/>
  <w15:docId w15:val="{94062017-CF63-452A-AC12-58FDE9C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3E5A"/>
    <w:rPr>
      <w:rFonts w:ascii="Arial" w:hAnsi="Arial" w:cs="Arial"/>
      <w:sz w:val="16"/>
      <w:szCs w:val="24"/>
    </w:rPr>
  </w:style>
  <w:style w:type="paragraph" w:styleId="Heading1">
    <w:name w:val="heading 1"/>
    <w:basedOn w:val="Normal"/>
    <w:next w:val="BodyText"/>
    <w:link w:val="Heading1Char"/>
    <w:uiPriority w:val="9"/>
    <w:qFormat/>
    <w:rsid w:val="00BA2EDD"/>
    <w:pPr>
      <w:keepNext/>
      <w:keepLines/>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9"/>
    <w:unhideWhenUsed/>
    <w:qFormat/>
    <w:rsid w:val="00E37D7F"/>
    <w:pPr>
      <w:keepNext/>
      <w:keepLines/>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9"/>
    <w:unhideWhenUsed/>
    <w:qFormat/>
    <w:rsid w:val="00E37D7F"/>
    <w:pPr>
      <w:keepNext/>
      <w:keepLines/>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9"/>
    <w:semiHidden/>
    <w:unhideWhenUsed/>
    <w:qFormat/>
    <w:rsid w:val="00E37D7F"/>
    <w:pPr>
      <w:keepNext/>
      <w:keepLines/>
      <w:spacing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A2EDD"/>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2ED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6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qFormat/>
    <w:rsid w:val="00183679"/>
    <w:pPr>
      <w:spacing w:before="0" w:after="360"/>
    </w:pPr>
    <w:rPr>
      <w:b w:val="0"/>
    </w:rPr>
  </w:style>
  <w:style w:type="paragraph" w:styleId="Caption">
    <w:name w:val="caption"/>
    <w:basedOn w:val="Normal"/>
    <w:next w:val="BodyText"/>
    <w:uiPriority w:val="35"/>
    <w:semiHidden/>
    <w:unhideWhenUsed/>
    <w:qFormat/>
    <w:rsid w:val="00183679"/>
    <w:pPr>
      <w:spacing w:before="120" w:after="0" w:line="240" w:lineRule="auto"/>
    </w:pPr>
    <w:rPr>
      <w:b/>
      <w:iCs/>
      <w:color w:val="44546A" w:themeColor="text2"/>
      <w:sz w:val="20"/>
      <w:szCs w:val="18"/>
    </w:rPr>
  </w:style>
  <w:style w:type="paragraph" w:styleId="BodyText">
    <w:name w:val="Body Text"/>
    <w:basedOn w:val="Normal"/>
    <w:link w:val="BodyTextChar"/>
    <w:uiPriority w:val="99"/>
    <w:unhideWhenUsed/>
    <w:qFormat/>
    <w:rsid w:val="00183679"/>
    <w:pPr>
      <w:spacing w:after="360" w:line="360" w:lineRule="auto"/>
    </w:pPr>
  </w:style>
  <w:style w:type="character" w:customStyle="1" w:styleId="BodyTextChar">
    <w:name w:val="Body Text Char"/>
    <w:basedOn w:val="DefaultParagraphFont"/>
    <w:link w:val="BodyText"/>
    <w:uiPriority w:val="99"/>
    <w:rsid w:val="00183679"/>
    <w:rPr>
      <w:rFonts w:ascii="Arial" w:hAnsi="Arial" w:cs="Arial"/>
      <w:sz w:val="24"/>
      <w:szCs w:val="24"/>
    </w:rPr>
  </w:style>
  <w:style w:type="paragraph" w:customStyle="1" w:styleId="Captionspace">
    <w:name w:val="Captionspace"/>
    <w:basedOn w:val="Caption"/>
    <w:next w:val="BodyText"/>
    <w:qFormat/>
    <w:rsid w:val="00183679"/>
    <w:pPr>
      <w:spacing w:before="0" w:after="160"/>
    </w:pPr>
    <w:rPr>
      <w:b w:val="0"/>
    </w:rPr>
  </w:style>
  <w:style w:type="paragraph" w:customStyle="1" w:styleId="Appendix">
    <w:name w:val="Appendix"/>
    <w:basedOn w:val="Heading2"/>
    <w:next w:val="Normal"/>
    <w:qFormat/>
    <w:rsid w:val="00BA2EDD"/>
    <w:pPr>
      <w:numPr>
        <w:ilvl w:val="8"/>
        <w:numId w:val="11"/>
      </w:numPr>
    </w:pPr>
  </w:style>
  <w:style w:type="character" w:customStyle="1" w:styleId="Heading2Char">
    <w:name w:val="Heading 2 Char"/>
    <w:basedOn w:val="DefaultParagraphFont"/>
    <w:link w:val="Heading2"/>
    <w:uiPriority w:val="9"/>
    <w:rsid w:val="00BA2ED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9"/>
    <w:rsid w:val="00183679"/>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9"/>
    <w:rsid w:val="00183679"/>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9"/>
    <w:semiHidden/>
    <w:rsid w:val="00183679"/>
    <w:rPr>
      <w:rFonts w:ascii="Arial" w:eastAsiaTheme="majorEastAsia" w:hAnsi="Arial" w:cstheme="majorBidi"/>
      <w:b/>
      <w:iCs/>
      <w:sz w:val="24"/>
      <w:szCs w:val="24"/>
    </w:rPr>
  </w:style>
  <w:style w:type="character" w:customStyle="1" w:styleId="Heading5Char">
    <w:name w:val="Heading 5 Char"/>
    <w:basedOn w:val="DefaultParagraphFont"/>
    <w:link w:val="Heading5"/>
    <w:uiPriority w:val="9"/>
    <w:semiHidden/>
    <w:rsid w:val="0018367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10"/>
    <w:rsid w:val="00183679"/>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Header">
    <w:name w:val="header"/>
    <w:basedOn w:val="Normal"/>
    <w:link w:val="HeaderChar"/>
    <w:uiPriority w:val="99"/>
    <w:unhideWhenUsed/>
    <w:rsid w:val="0087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E5"/>
    <w:rPr>
      <w:rFonts w:ascii="Arial" w:hAnsi="Arial" w:cs="Arial"/>
      <w:sz w:val="24"/>
      <w:szCs w:val="24"/>
    </w:rPr>
  </w:style>
  <w:style w:type="paragraph" w:styleId="Footer">
    <w:name w:val="footer"/>
    <w:basedOn w:val="Normal"/>
    <w:link w:val="FooterChar"/>
    <w:uiPriority w:val="99"/>
    <w:unhideWhenUsed/>
    <w:rsid w:val="0087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BE5"/>
    <w:rPr>
      <w:rFonts w:ascii="Arial" w:hAnsi="Arial" w:cs="Arial"/>
      <w:sz w:val="24"/>
      <w:szCs w:val="24"/>
    </w:rPr>
  </w:style>
  <w:style w:type="table" w:styleId="TableGrid">
    <w:name w:val="Table Grid"/>
    <w:basedOn w:val="TableNormal"/>
    <w:uiPriority w:val="39"/>
    <w:rsid w:val="0092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242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924290"/>
    <w:pPr>
      <w:spacing w:after="0"/>
      <w:jc w:val="center"/>
    </w:pPr>
    <w:rPr>
      <w:noProof/>
      <w:sz w:val="24"/>
    </w:rPr>
  </w:style>
  <w:style w:type="character" w:customStyle="1" w:styleId="EndNoteBibliographyTitleChar">
    <w:name w:val="EndNote Bibliography Title Char"/>
    <w:basedOn w:val="DefaultParagraphFont"/>
    <w:link w:val="EndNoteBibliographyTitle"/>
    <w:rsid w:val="00924290"/>
    <w:rPr>
      <w:rFonts w:ascii="Arial" w:hAnsi="Arial" w:cs="Arial"/>
      <w:noProof/>
      <w:sz w:val="24"/>
      <w:szCs w:val="24"/>
    </w:rPr>
  </w:style>
  <w:style w:type="paragraph" w:customStyle="1" w:styleId="EndNoteBibliography">
    <w:name w:val="EndNote Bibliography"/>
    <w:basedOn w:val="Normal"/>
    <w:link w:val="EndNoteBibliographyChar"/>
    <w:rsid w:val="00924290"/>
    <w:pPr>
      <w:spacing w:line="240" w:lineRule="auto"/>
    </w:pPr>
    <w:rPr>
      <w:noProof/>
      <w:sz w:val="24"/>
    </w:rPr>
  </w:style>
  <w:style w:type="character" w:customStyle="1" w:styleId="EndNoteBibliographyChar">
    <w:name w:val="EndNote Bibliography Char"/>
    <w:basedOn w:val="DefaultParagraphFont"/>
    <w:link w:val="EndNoteBibliography"/>
    <w:rsid w:val="00924290"/>
    <w:rPr>
      <w:rFonts w:ascii="Arial" w:hAnsi="Arial" w:cs="Arial"/>
      <w:noProof/>
      <w:sz w:val="24"/>
      <w:szCs w:val="24"/>
    </w:rPr>
  </w:style>
  <w:style w:type="paragraph" w:styleId="ListParagraph">
    <w:name w:val="List Paragraph"/>
    <w:basedOn w:val="Normal"/>
    <w:uiPriority w:val="34"/>
    <w:qFormat/>
    <w:rsid w:val="00393449"/>
    <w:pPr>
      <w:ind w:left="720"/>
      <w:contextualSpacing/>
    </w:pPr>
  </w:style>
  <w:style w:type="paragraph" w:styleId="BalloonText">
    <w:name w:val="Balloon Text"/>
    <w:basedOn w:val="Normal"/>
    <w:link w:val="BalloonTextChar"/>
    <w:uiPriority w:val="99"/>
    <w:semiHidden/>
    <w:unhideWhenUsed/>
    <w:rsid w:val="00573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7CC"/>
    <w:rPr>
      <w:rFonts w:ascii="Segoe UI" w:hAnsi="Segoe UI" w:cs="Segoe UI"/>
      <w:sz w:val="18"/>
      <w:szCs w:val="18"/>
    </w:rPr>
  </w:style>
  <w:style w:type="paragraph" w:customStyle="1" w:styleId="Abstract">
    <w:name w:val="Abstract"/>
    <w:basedOn w:val="Normal"/>
    <w:qFormat/>
    <w:rsid w:val="001D08EE"/>
    <w:pPr>
      <w:spacing w:after="0" w:line="240" w:lineRule="auto"/>
    </w:pPr>
    <w:rPr>
      <w:rFonts w:asciiTheme="minorBidi" w:eastAsia="Arial" w:hAnsiTheme="minorBidi" w:cstheme="minorBidi"/>
      <w:color w:val="000000"/>
      <w:sz w:val="14"/>
      <w:szCs w:val="16"/>
    </w:rPr>
  </w:style>
  <w:style w:type="character" w:styleId="CommentReference">
    <w:name w:val="annotation reference"/>
    <w:basedOn w:val="DefaultParagraphFont"/>
    <w:uiPriority w:val="99"/>
    <w:semiHidden/>
    <w:unhideWhenUsed/>
    <w:rsid w:val="005A7EE0"/>
    <w:rPr>
      <w:sz w:val="16"/>
      <w:szCs w:val="16"/>
    </w:rPr>
  </w:style>
  <w:style w:type="paragraph" w:styleId="CommentText">
    <w:name w:val="annotation text"/>
    <w:basedOn w:val="Normal"/>
    <w:link w:val="CommentTextChar"/>
    <w:uiPriority w:val="99"/>
    <w:semiHidden/>
    <w:unhideWhenUsed/>
    <w:rsid w:val="005A7EE0"/>
    <w:pPr>
      <w:spacing w:line="240" w:lineRule="auto"/>
    </w:pPr>
    <w:rPr>
      <w:sz w:val="20"/>
      <w:szCs w:val="20"/>
    </w:rPr>
  </w:style>
  <w:style w:type="character" w:customStyle="1" w:styleId="CommentTextChar">
    <w:name w:val="Comment Text Char"/>
    <w:basedOn w:val="DefaultParagraphFont"/>
    <w:link w:val="CommentText"/>
    <w:uiPriority w:val="99"/>
    <w:semiHidden/>
    <w:rsid w:val="005A7EE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A7EE0"/>
    <w:rPr>
      <w:b/>
      <w:bCs/>
    </w:rPr>
  </w:style>
  <w:style w:type="character" w:customStyle="1" w:styleId="CommentSubjectChar">
    <w:name w:val="Comment Subject Char"/>
    <w:basedOn w:val="CommentTextChar"/>
    <w:link w:val="CommentSubject"/>
    <w:uiPriority w:val="99"/>
    <w:semiHidden/>
    <w:rsid w:val="005A7EE0"/>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8EB79-5DF3-42F7-AC4C-280A5D104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16088-8FB8-4742-B7D1-3DE6CF70FC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60C1AE-8656-4CC6-B2EF-2680256FD9ED}">
  <ds:schemaRefs>
    <ds:schemaRef ds:uri="http://schemas.microsoft.com/sharepoint/v3/contenttype/forms"/>
  </ds:schemaRefs>
</ds:datastoreItem>
</file>

<file path=customXml/itemProps4.xml><?xml version="1.0" encoding="utf-8"?>
<ds:datastoreItem xmlns:ds="http://schemas.openxmlformats.org/officeDocument/2006/customXml" ds:itemID="{E3A8622D-319E-4708-9715-D53D0309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E9B19562.dotm</Template>
  <TotalTime>627</TotalTime>
  <Pages>3</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04102018</vt:lpstr>
    </vt:vector>
  </TitlesOfParts>
  <Company>University Of Glasgow</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04102018</dc:title>
  <dc:subject/>
  <dc:creator>Andrew Baxter</dc:creator>
  <cp:keywords/>
  <dc:description/>
  <cp:lastModifiedBy>Andrew Baxter (PGR)</cp:lastModifiedBy>
  <cp:revision>27</cp:revision>
  <cp:lastPrinted>2018-10-11T08:32:00Z</cp:lastPrinted>
  <dcterms:created xsi:type="dcterms:W3CDTF">2020-03-19T16:02:00Z</dcterms:created>
  <dcterms:modified xsi:type="dcterms:W3CDTF">2020-03-31T15:55:00Z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ies>
</file>