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0E42" w:rsidRPr="00F10E42" w:rsidRDefault="00F10E42" w:rsidP="00447BA2">
      <w:pPr>
        <w:snapToGrid w:val="0"/>
        <w:contextualSpacing/>
        <w:rPr>
          <w:rFonts w:ascii="Times New Roman" w:hAnsi="Times New Roman" w:cs="Times New Roman"/>
        </w:rPr>
      </w:pPr>
      <w:proofErr w:type="spellStart"/>
      <w:r w:rsidRPr="00F10E42">
        <w:rPr>
          <w:rFonts w:ascii="Times New Roman" w:hAnsi="Times New Roman" w:cs="Times New Roman"/>
        </w:rPr>
        <w:t>Sente</w:t>
      </w:r>
      <w:proofErr w:type="spellEnd"/>
      <w:r w:rsidRPr="00F10E42">
        <w:rPr>
          <w:rFonts w:ascii="Times New Roman" w:hAnsi="Times New Roman" w:cs="Times New Roman"/>
        </w:rPr>
        <w:t>, 2018:</w:t>
      </w:r>
    </w:p>
    <w:p w:rsidR="00F10E42" w:rsidRDefault="00F10E42" w:rsidP="00447BA2">
      <w:pPr>
        <w:pStyle w:val="NormalWeb"/>
        <w:snapToGrid w:val="0"/>
        <w:contextualSpacing/>
      </w:pPr>
      <w:r w:rsidRPr="00F10E42">
        <w:t>“</w:t>
      </w:r>
      <w:r w:rsidRPr="00F10E42">
        <w:t>van der Waals interactions between residues, as well as non-canonical interaction such as π–π stacking, were determined as previously described</w:t>
      </w:r>
      <w:r w:rsidRPr="00F10E42">
        <w:rPr>
          <w:color w:val="3A689B"/>
          <w:position w:val="4"/>
        </w:rPr>
        <w:t xml:space="preserve">23 </w:t>
      </w:r>
      <w:r w:rsidRPr="00F10E42">
        <w:t xml:space="preserve">using a local version of </w:t>
      </w:r>
      <w:proofErr w:type="spellStart"/>
      <w:r w:rsidRPr="00F10E42">
        <w:t>RINerator</w:t>
      </w:r>
      <w:proofErr w:type="spellEnd"/>
      <w:r w:rsidRPr="00F10E42">
        <w:t xml:space="preserve"> 0.5, PCA, and NCI. All calculations, analysis, and</w:t>
      </w:r>
      <w:r>
        <w:t xml:space="preserve"> processing were performed in R.</w:t>
      </w:r>
      <w:r w:rsidRPr="00F10E42">
        <w:t>”</w:t>
      </w:r>
    </w:p>
    <w:p w:rsidR="00447BA2" w:rsidRDefault="00447BA2" w:rsidP="00447BA2">
      <w:pPr>
        <w:pStyle w:val="NormalWeb"/>
        <w:snapToGrid w:val="0"/>
        <w:contextualSpacing/>
      </w:pPr>
    </w:p>
    <w:p w:rsidR="00447BA2" w:rsidRDefault="00447BA2" w:rsidP="00447BA2">
      <w:pPr>
        <w:pStyle w:val="NormalWeb"/>
        <w:snapToGrid w:val="0"/>
        <w:contextualSpacing/>
      </w:pPr>
      <w:r>
        <w:t>Flock, 2017:</w:t>
      </w:r>
    </w:p>
    <w:p w:rsidR="00447BA2" w:rsidRDefault="00447BA2" w:rsidP="00447BA2">
      <w:pPr>
        <w:pStyle w:val="NormalWeb"/>
        <w:snapToGrid w:val="0"/>
        <w:contextualSpacing/>
      </w:pPr>
      <w:r>
        <w:t>“</w:t>
      </w:r>
      <w:r w:rsidRPr="00447BA2">
        <w:t xml:space="preserve">The inter-GPCR–G-protein residue contact network for the β2AR–Gαs (PDB accession number 3SN6) and A2A–mini Gαs (PDB accession number 5G53) structures was computed using van der Waals contacts between </w:t>
      </w:r>
      <w:r>
        <w:t>atoms, as described in ref. 28.”</w:t>
      </w:r>
    </w:p>
    <w:p w:rsidR="00447BA2" w:rsidRDefault="00447BA2" w:rsidP="00447BA2">
      <w:pPr>
        <w:pStyle w:val="NormalWeb"/>
        <w:snapToGrid w:val="0"/>
        <w:contextualSpacing/>
      </w:pPr>
    </w:p>
    <w:p w:rsidR="00447BA2" w:rsidRDefault="00447BA2" w:rsidP="00447BA2">
      <w:pPr>
        <w:pStyle w:val="NormalWeb"/>
        <w:snapToGrid w:val="0"/>
        <w:contextualSpacing/>
      </w:pPr>
    </w:p>
    <w:p w:rsidR="00447BA2" w:rsidRDefault="00447BA2" w:rsidP="00447BA2">
      <w:pPr>
        <w:pStyle w:val="NormalWeb"/>
        <w:snapToGrid w:val="0"/>
        <w:contextualSpacing/>
      </w:pPr>
      <w:proofErr w:type="spellStart"/>
      <w:r>
        <w:t>Venkatakrishnan</w:t>
      </w:r>
      <w:proofErr w:type="spellEnd"/>
      <w:r>
        <w:t>, 2016:</w:t>
      </w:r>
    </w:p>
    <w:p w:rsidR="00447BA2" w:rsidRDefault="00447BA2" w:rsidP="00447BA2">
      <w:pPr>
        <w:pStyle w:val="NormalWeb"/>
        <w:snapToGrid w:val="0"/>
        <w:contextualSpacing/>
      </w:pPr>
    </w:p>
    <w:p w:rsidR="00447BA2" w:rsidRDefault="00447BA2" w:rsidP="00447BA2">
      <w:pPr>
        <w:pStyle w:val="NormalWeb"/>
        <w:snapToGrid w:val="0"/>
        <w:contextualSpacing/>
      </w:pPr>
      <w:bookmarkStart w:id="0" w:name="_GoBack"/>
      <w:r w:rsidRPr="00447BA2">
        <w:t xml:space="preserve">We defined a residue contact between a pair of residues as present when the distance between any two atoms from the residue pair is less than the sum of their van der Waals radii plus a cut-off distance of 0.5 Å. </w:t>
      </w:r>
      <w:bookmarkEnd w:id="0"/>
      <w:r w:rsidRPr="00447BA2">
        <w:t xml:space="preserve">Contacts involving the backbone atoms between residues that are less than four amino acids apart in the protein sequence were ignored to exclude local contacts4,14. We only considered contacts mediated by the residues of TM1–7 or the amphipathic helix 8 (H8) (based on the </w:t>
      </w:r>
      <w:proofErr w:type="spellStart"/>
      <w:r w:rsidRPr="00447BA2">
        <w:t>GPCRdb</w:t>
      </w:r>
      <w:proofErr w:type="spellEnd"/>
      <w:r w:rsidRPr="00447BA2">
        <w:t xml:space="preserve"> numbering scheme), as ligand binding primarily leads to reorganization in the transmembrane bundle, and as the loops and termini are highly variable in length, structure and intrinsic disorder among the different GPCRs30. While rearrangements of water-mediated contacts have been shown to be important for receptor activation10,31, they are not considered here because not all structures have water molecules resolved in their coordinates. In each structure, residues present in the TM1–7 or in H8 are treated as nodes, and the presence of atomic contacts between pairs of residues are treated as edges connecting the nodes. We then evaluated the presence of residue contacts between topologically equivalent residues across GPCR </w:t>
      </w:r>
      <w:proofErr w:type="spellStart"/>
      <w:r w:rsidRPr="00447BA2">
        <w:t>struc</w:t>
      </w:r>
      <w:proofErr w:type="spellEnd"/>
      <w:r w:rsidRPr="00447BA2">
        <w:t xml:space="preserve">- </w:t>
      </w:r>
      <w:proofErr w:type="spellStart"/>
      <w:r w:rsidRPr="00447BA2">
        <w:t>tures</w:t>
      </w:r>
      <w:proofErr w:type="spellEnd"/>
      <w:r w:rsidRPr="00447BA2">
        <w:t xml:space="preserve">. Structural equivalence was assigned using the </w:t>
      </w:r>
      <w:proofErr w:type="spellStart"/>
      <w:r w:rsidRPr="00447BA2">
        <w:t>GPCRdb</w:t>
      </w:r>
      <w:proofErr w:type="spellEnd"/>
      <w:r w:rsidRPr="00447BA2">
        <w:t xml:space="preserve"> numbering scheme20 from GPCRdb18. </w:t>
      </w:r>
    </w:p>
    <w:p w:rsidR="00447BA2" w:rsidRPr="00F10E42" w:rsidRDefault="00447BA2" w:rsidP="00447BA2">
      <w:pPr>
        <w:pStyle w:val="NormalWeb"/>
        <w:snapToGrid w:val="0"/>
        <w:contextualSpacing/>
      </w:pPr>
    </w:p>
    <w:sectPr w:rsidR="00447BA2" w:rsidRPr="00F10E42" w:rsidSect="000B0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D0"/>
    <w:rsid w:val="00031FBC"/>
    <w:rsid w:val="000B0BF1"/>
    <w:rsid w:val="000F4542"/>
    <w:rsid w:val="000F5E36"/>
    <w:rsid w:val="00117E78"/>
    <w:rsid w:val="00241D25"/>
    <w:rsid w:val="0025562A"/>
    <w:rsid w:val="002A5FAE"/>
    <w:rsid w:val="002D77D0"/>
    <w:rsid w:val="00332BBC"/>
    <w:rsid w:val="00340DD3"/>
    <w:rsid w:val="00360DFC"/>
    <w:rsid w:val="003F0DEE"/>
    <w:rsid w:val="00413819"/>
    <w:rsid w:val="00416BBA"/>
    <w:rsid w:val="00446D85"/>
    <w:rsid w:val="00447BA2"/>
    <w:rsid w:val="00514E3B"/>
    <w:rsid w:val="00523EDB"/>
    <w:rsid w:val="005A6FFE"/>
    <w:rsid w:val="005B7184"/>
    <w:rsid w:val="005C38F6"/>
    <w:rsid w:val="005E1759"/>
    <w:rsid w:val="006749A2"/>
    <w:rsid w:val="006A6446"/>
    <w:rsid w:val="006F5BAC"/>
    <w:rsid w:val="007069B8"/>
    <w:rsid w:val="00720E90"/>
    <w:rsid w:val="007855A3"/>
    <w:rsid w:val="007B119D"/>
    <w:rsid w:val="007C6B03"/>
    <w:rsid w:val="007D4843"/>
    <w:rsid w:val="00833F12"/>
    <w:rsid w:val="008735B0"/>
    <w:rsid w:val="00A80AB5"/>
    <w:rsid w:val="00AC52D7"/>
    <w:rsid w:val="00B144CC"/>
    <w:rsid w:val="00C03E73"/>
    <w:rsid w:val="00CC1553"/>
    <w:rsid w:val="00CC3A5A"/>
    <w:rsid w:val="00D202A6"/>
    <w:rsid w:val="00D8140C"/>
    <w:rsid w:val="00DA31BA"/>
    <w:rsid w:val="00E23A8E"/>
    <w:rsid w:val="00E27E8F"/>
    <w:rsid w:val="00E66FBC"/>
    <w:rsid w:val="00E756E9"/>
    <w:rsid w:val="00E93295"/>
    <w:rsid w:val="00F10E42"/>
    <w:rsid w:val="00F337C3"/>
    <w:rsid w:val="00F50EE4"/>
    <w:rsid w:val="00FD7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4B902"/>
  <w15:chartTrackingRefBased/>
  <w15:docId w15:val="{BCCD9EB7-AED8-0E42-90CC-4D7D89967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10E4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2838235">
      <w:bodyDiv w:val="1"/>
      <w:marLeft w:val="0"/>
      <w:marRight w:val="0"/>
      <w:marTop w:val="0"/>
      <w:marBottom w:val="0"/>
      <w:divBdr>
        <w:top w:val="none" w:sz="0" w:space="0" w:color="auto"/>
        <w:left w:val="none" w:sz="0" w:space="0" w:color="auto"/>
        <w:bottom w:val="none" w:sz="0" w:space="0" w:color="auto"/>
        <w:right w:val="none" w:sz="0" w:space="0" w:color="auto"/>
      </w:divBdr>
      <w:divsChild>
        <w:div w:id="1288732252">
          <w:marLeft w:val="0"/>
          <w:marRight w:val="0"/>
          <w:marTop w:val="0"/>
          <w:marBottom w:val="0"/>
          <w:divBdr>
            <w:top w:val="none" w:sz="0" w:space="0" w:color="auto"/>
            <w:left w:val="none" w:sz="0" w:space="0" w:color="auto"/>
            <w:bottom w:val="none" w:sz="0" w:space="0" w:color="auto"/>
            <w:right w:val="none" w:sz="0" w:space="0" w:color="auto"/>
          </w:divBdr>
          <w:divsChild>
            <w:div w:id="1314722295">
              <w:marLeft w:val="0"/>
              <w:marRight w:val="0"/>
              <w:marTop w:val="0"/>
              <w:marBottom w:val="0"/>
              <w:divBdr>
                <w:top w:val="none" w:sz="0" w:space="0" w:color="auto"/>
                <w:left w:val="none" w:sz="0" w:space="0" w:color="auto"/>
                <w:bottom w:val="none" w:sz="0" w:space="0" w:color="auto"/>
                <w:right w:val="none" w:sz="0" w:space="0" w:color="auto"/>
              </w:divBdr>
              <w:divsChild>
                <w:div w:id="2280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8560">
      <w:bodyDiv w:val="1"/>
      <w:marLeft w:val="0"/>
      <w:marRight w:val="0"/>
      <w:marTop w:val="0"/>
      <w:marBottom w:val="0"/>
      <w:divBdr>
        <w:top w:val="none" w:sz="0" w:space="0" w:color="auto"/>
        <w:left w:val="none" w:sz="0" w:space="0" w:color="auto"/>
        <w:bottom w:val="none" w:sz="0" w:space="0" w:color="auto"/>
        <w:right w:val="none" w:sz="0" w:space="0" w:color="auto"/>
      </w:divBdr>
      <w:divsChild>
        <w:div w:id="27528726">
          <w:marLeft w:val="0"/>
          <w:marRight w:val="0"/>
          <w:marTop w:val="0"/>
          <w:marBottom w:val="0"/>
          <w:divBdr>
            <w:top w:val="none" w:sz="0" w:space="0" w:color="auto"/>
            <w:left w:val="none" w:sz="0" w:space="0" w:color="auto"/>
            <w:bottom w:val="none" w:sz="0" w:space="0" w:color="auto"/>
            <w:right w:val="none" w:sz="0" w:space="0" w:color="auto"/>
          </w:divBdr>
          <w:divsChild>
            <w:div w:id="244262858">
              <w:marLeft w:val="0"/>
              <w:marRight w:val="0"/>
              <w:marTop w:val="0"/>
              <w:marBottom w:val="0"/>
              <w:divBdr>
                <w:top w:val="none" w:sz="0" w:space="0" w:color="auto"/>
                <w:left w:val="none" w:sz="0" w:space="0" w:color="auto"/>
                <w:bottom w:val="none" w:sz="0" w:space="0" w:color="auto"/>
                <w:right w:val="none" w:sz="0" w:space="0" w:color="auto"/>
              </w:divBdr>
              <w:divsChild>
                <w:div w:id="3827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89809">
      <w:bodyDiv w:val="1"/>
      <w:marLeft w:val="0"/>
      <w:marRight w:val="0"/>
      <w:marTop w:val="0"/>
      <w:marBottom w:val="0"/>
      <w:divBdr>
        <w:top w:val="none" w:sz="0" w:space="0" w:color="auto"/>
        <w:left w:val="none" w:sz="0" w:space="0" w:color="auto"/>
        <w:bottom w:val="none" w:sz="0" w:space="0" w:color="auto"/>
        <w:right w:val="none" w:sz="0" w:space="0" w:color="auto"/>
      </w:divBdr>
      <w:divsChild>
        <w:div w:id="2117290696">
          <w:marLeft w:val="0"/>
          <w:marRight w:val="0"/>
          <w:marTop w:val="0"/>
          <w:marBottom w:val="0"/>
          <w:divBdr>
            <w:top w:val="none" w:sz="0" w:space="0" w:color="auto"/>
            <w:left w:val="none" w:sz="0" w:space="0" w:color="auto"/>
            <w:bottom w:val="none" w:sz="0" w:space="0" w:color="auto"/>
            <w:right w:val="none" w:sz="0" w:space="0" w:color="auto"/>
          </w:divBdr>
          <w:divsChild>
            <w:div w:id="2090998779">
              <w:marLeft w:val="0"/>
              <w:marRight w:val="0"/>
              <w:marTop w:val="0"/>
              <w:marBottom w:val="0"/>
              <w:divBdr>
                <w:top w:val="none" w:sz="0" w:space="0" w:color="auto"/>
                <w:left w:val="none" w:sz="0" w:space="0" w:color="auto"/>
                <w:bottom w:val="none" w:sz="0" w:space="0" w:color="auto"/>
                <w:right w:val="none" w:sz="0" w:space="0" w:color="auto"/>
              </w:divBdr>
              <w:divsChild>
                <w:div w:id="18464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2018-10-05T08:35:00Z</dcterms:created>
  <dcterms:modified xsi:type="dcterms:W3CDTF">2018-10-05T09:18:00Z</dcterms:modified>
</cp:coreProperties>
</file>