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B47C7D" w14:textId="3B0B9FC9" w:rsidR="00F752EB" w:rsidRDefault="004B103C">
      <w:pPr>
        <w:rPr>
          <w:rFonts w:ascii="Times New Roman" w:hAnsi="Times New Roman" w:cs="Times New Roman"/>
          <w:b/>
          <w:bCs/>
        </w:rPr>
      </w:pPr>
      <w:r>
        <w:rPr>
          <w:rFonts w:ascii="Times New Roman" w:hAnsi="Times New Roman" w:cs="Times New Roman"/>
          <w:b/>
          <w:bCs/>
          <w:noProof/>
        </w:rPr>
        <w:drawing>
          <wp:inline distT="0" distB="0" distL="0" distR="0" wp14:anchorId="47FDBE55" wp14:editId="742566EF">
            <wp:extent cx="5943600" cy="6024245"/>
            <wp:effectExtent l="0" t="0" r="0" b="0"/>
            <wp:docPr id="1" name="Picture 1"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alenda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6024245"/>
                    </a:xfrm>
                    <a:prstGeom prst="rect">
                      <a:avLst/>
                    </a:prstGeom>
                  </pic:spPr>
                </pic:pic>
              </a:graphicData>
            </a:graphic>
          </wp:inline>
        </w:drawing>
      </w:r>
    </w:p>
    <w:p w14:paraId="2407EB36" w14:textId="77777777" w:rsidR="00F752EB" w:rsidRDefault="00F752EB">
      <w:pPr>
        <w:rPr>
          <w:rFonts w:ascii="Times New Roman" w:hAnsi="Times New Roman" w:cs="Times New Roman"/>
          <w:b/>
          <w:bCs/>
        </w:rPr>
      </w:pPr>
    </w:p>
    <w:p w14:paraId="28E14AEC" w14:textId="4DD7A947" w:rsidR="00E46AEC" w:rsidRDefault="00E46AEC">
      <w:pPr>
        <w:rPr>
          <w:rFonts w:ascii="Times New Roman" w:hAnsi="Times New Roman" w:cs="Times New Roman"/>
          <w:b/>
          <w:bCs/>
        </w:rPr>
      </w:pPr>
      <w:r>
        <w:rPr>
          <w:rFonts w:ascii="Times New Roman" w:hAnsi="Times New Roman" w:cs="Times New Roman"/>
          <w:b/>
          <w:bCs/>
        </w:rPr>
        <w:t xml:space="preserve">Figure 1. </w:t>
      </w:r>
      <w:r w:rsidRPr="00955621">
        <w:rPr>
          <w:rFonts w:ascii="Times New Roman" w:hAnsi="Times New Roman" w:cs="Times New Roman"/>
          <w:b/>
          <w:bCs/>
        </w:rPr>
        <w:t>Inferring functional roles for mutated residues in CCL22-CCR4 interactions.</w:t>
      </w:r>
    </w:p>
    <w:p w14:paraId="6585E1CE" w14:textId="5C3493F2" w:rsidR="00E46AEC" w:rsidRDefault="00E46AEC">
      <w:pPr>
        <w:rPr>
          <w:rFonts w:ascii="Times New Roman" w:hAnsi="Times New Roman" w:cs="Times New Roman"/>
          <w:b/>
          <w:bCs/>
        </w:rPr>
      </w:pPr>
    </w:p>
    <w:p w14:paraId="681C8B45" w14:textId="2A17C689" w:rsidR="00E46AEC" w:rsidRDefault="00E46AEC">
      <w:pPr>
        <w:rPr>
          <w:rFonts w:ascii="Times New Roman" w:hAnsi="Times New Roman" w:cs="Times New Roman"/>
          <w:b/>
          <w:bCs/>
        </w:rPr>
      </w:pPr>
    </w:p>
    <w:p w14:paraId="6D2841E5" w14:textId="3C74DD03" w:rsidR="00E46AEC" w:rsidRDefault="00E46AEC">
      <w:pPr>
        <w:rPr>
          <w:rFonts w:ascii="Times New Roman" w:hAnsi="Times New Roman" w:cs="Times New Roman"/>
          <w:b/>
          <w:bCs/>
        </w:rPr>
      </w:pPr>
    </w:p>
    <w:p w14:paraId="6A4F8871" w14:textId="0832346A" w:rsidR="00E46AEC" w:rsidRDefault="00E46AEC">
      <w:pPr>
        <w:rPr>
          <w:rFonts w:ascii="Times New Roman" w:hAnsi="Times New Roman" w:cs="Times New Roman"/>
          <w:b/>
          <w:bCs/>
        </w:rPr>
      </w:pPr>
    </w:p>
    <w:p w14:paraId="0911866D" w14:textId="005EB4C1" w:rsidR="00E46AEC" w:rsidRDefault="00E46AEC">
      <w:pPr>
        <w:rPr>
          <w:rFonts w:ascii="Times New Roman" w:hAnsi="Times New Roman" w:cs="Times New Roman"/>
          <w:b/>
          <w:bCs/>
        </w:rPr>
      </w:pPr>
    </w:p>
    <w:p w14:paraId="4C490995" w14:textId="29017F2F" w:rsidR="00E46AEC" w:rsidRDefault="00E46AEC">
      <w:pPr>
        <w:rPr>
          <w:rFonts w:ascii="Times New Roman" w:hAnsi="Times New Roman" w:cs="Times New Roman"/>
          <w:b/>
          <w:bCs/>
        </w:rPr>
      </w:pPr>
    </w:p>
    <w:p w14:paraId="3978FF13" w14:textId="71DE3CF0" w:rsidR="00E46AEC" w:rsidRDefault="00E46AEC">
      <w:pPr>
        <w:rPr>
          <w:rFonts w:ascii="Times New Roman" w:hAnsi="Times New Roman" w:cs="Times New Roman"/>
          <w:b/>
          <w:bCs/>
        </w:rPr>
      </w:pPr>
    </w:p>
    <w:p w14:paraId="75D4B680" w14:textId="77777777" w:rsidR="00E46AEC" w:rsidRDefault="00E46AEC">
      <w:pPr>
        <w:rPr>
          <w:rFonts w:ascii="Times New Roman" w:hAnsi="Times New Roman" w:cs="Times New Roman"/>
          <w:b/>
          <w:bCs/>
        </w:rPr>
      </w:pPr>
    </w:p>
    <w:p w14:paraId="431CF331" w14:textId="77777777" w:rsidR="00E46AEC" w:rsidRDefault="00E46AEC">
      <w:pPr>
        <w:rPr>
          <w:rFonts w:ascii="Times New Roman" w:hAnsi="Times New Roman" w:cs="Times New Roman"/>
          <w:b/>
          <w:bCs/>
        </w:rPr>
      </w:pPr>
    </w:p>
    <w:p w14:paraId="0E13865A" w14:textId="09E66550" w:rsidR="00F73B24" w:rsidRDefault="00955621">
      <w:pPr>
        <w:rPr>
          <w:rFonts w:ascii="Times New Roman" w:hAnsi="Times New Roman" w:cs="Times New Roman"/>
        </w:rPr>
      </w:pPr>
      <w:r>
        <w:rPr>
          <w:rFonts w:ascii="Times New Roman" w:hAnsi="Times New Roman" w:cs="Times New Roman"/>
          <w:b/>
          <w:bCs/>
        </w:rPr>
        <w:lastRenderedPageBreak/>
        <w:t>Figure</w:t>
      </w:r>
      <w:r w:rsidR="004B103C">
        <w:rPr>
          <w:rFonts w:ascii="Times New Roman" w:hAnsi="Times New Roman" w:cs="Times New Roman"/>
          <w:b/>
          <w:bCs/>
        </w:rPr>
        <w:t xml:space="preserve"> 1</w:t>
      </w:r>
      <w:r>
        <w:rPr>
          <w:rFonts w:ascii="Times New Roman" w:hAnsi="Times New Roman" w:cs="Times New Roman"/>
          <w:b/>
          <w:bCs/>
        </w:rPr>
        <w:t xml:space="preserve">. </w:t>
      </w:r>
      <w:r w:rsidRPr="00955621">
        <w:rPr>
          <w:rFonts w:ascii="Times New Roman" w:hAnsi="Times New Roman" w:cs="Times New Roman"/>
          <w:b/>
          <w:bCs/>
        </w:rPr>
        <w:t>Inferring functional roles for mutated residues in CCL22-CCR4 interactions.</w:t>
      </w:r>
      <w:r>
        <w:rPr>
          <w:rFonts w:ascii="Times New Roman" w:hAnsi="Times New Roman" w:cs="Times New Roman"/>
        </w:rPr>
        <w:t xml:space="preserve"> (A) </w:t>
      </w:r>
      <w:r w:rsidR="00366278">
        <w:rPr>
          <w:rFonts w:ascii="Times New Roman" w:hAnsi="Times New Roman" w:cs="Times New Roman"/>
        </w:rPr>
        <w:t>A representative c</w:t>
      </w:r>
      <w:r w:rsidR="00C41F64">
        <w:rPr>
          <w:rFonts w:ascii="Times New Roman" w:hAnsi="Times New Roman" w:cs="Times New Roman"/>
        </w:rPr>
        <w:t>hemokine-GPCR complex</w:t>
      </w:r>
      <w:r w:rsidR="00366278">
        <w:rPr>
          <w:rFonts w:ascii="Times New Roman" w:hAnsi="Times New Roman" w:cs="Times New Roman"/>
        </w:rPr>
        <w:t xml:space="preserve"> (PDB 5UIW)</w:t>
      </w:r>
      <w:r w:rsidR="00C41F64">
        <w:rPr>
          <w:rFonts w:ascii="Times New Roman" w:hAnsi="Times New Roman" w:cs="Times New Roman"/>
        </w:rPr>
        <w:t xml:space="preserve"> depicting </w:t>
      </w:r>
      <w:r w:rsidR="00366278">
        <w:rPr>
          <w:rFonts w:ascii="Times New Roman" w:hAnsi="Times New Roman" w:cs="Times New Roman"/>
        </w:rPr>
        <w:t xml:space="preserve">the positions of </w:t>
      </w:r>
      <w:r w:rsidR="009C1410">
        <w:rPr>
          <w:rFonts w:ascii="Times New Roman" w:hAnsi="Times New Roman" w:cs="Times New Roman"/>
        </w:rPr>
        <w:t xml:space="preserve">the mutated residues on the </w:t>
      </w:r>
      <w:r w:rsidR="0020361D">
        <w:rPr>
          <w:rFonts w:ascii="Times New Roman" w:hAnsi="Times New Roman" w:cs="Times New Roman"/>
        </w:rPr>
        <w:t>chemokine structure as spheres. Residues are labeled by number as well as with their corresponding Common Chemokine Numbering (CCN) nomenclature (e.g., cxb1.13). Residue secondary structural elements (SSEs) are labeled with common names below.</w:t>
      </w:r>
      <w:r w:rsidR="007124B4">
        <w:rPr>
          <w:rFonts w:ascii="Times New Roman" w:hAnsi="Times New Roman" w:cs="Times New Roman"/>
        </w:rPr>
        <w:t xml:space="preserve"> </w:t>
      </w:r>
      <w:r w:rsidR="00400796">
        <w:rPr>
          <w:rFonts w:ascii="Times New Roman" w:hAnsi="Times New Roman" w:cs="Times New Roman"/>
        </w:rPr>
        <w:t xml:space="preserve">(B) 8 mutations were identified in CCL22 at </w:t>
      </w:r>
      <w:r w:rsidR="006F71B2">
        <w:rPr>
          <w:rFonts w:ascii="Times New Roman" w:hAnsi="Times New Roman" w:cs="Times New Roman"/>
        </w:rPr>
        <w:t>5 positions</w:t>
      </w:r>
      <w:r w:rsidR="00FC3367">
        <w:rPr>
          <w:rFonts w:ascii="Times New Roman" w:hAnsi="Times New Roman" w:cs="Times New Roman"/>
        </w:rPr>
        <w:t xml:space="preserve"> (top). </w:t>
      </w:r>
      <w:r w:rsidR="00EC498B">
        <w:rPr>
          <w:rFonts w:ascii="Times New Roman" w:hAnsi="Times New Roman" w:cs="Times New Roman"/>
        </w:rPr>
        <w:t>The positions at which each mutation occurs are indicated with numbers 1-5 as well as CCN designations</w:t>
      </w:r>
      <w:r w:rsidR="0075620C">
        <w:rPr>
          <w:rFonts w:ascii="Times New Roman" w:hAnsi="Times New Roman" w:cs="Times New Roman"/>
        </w:rPr>
        <w:t xml:space="preserve">, WT residues, and mutated residues. Basic residues are highlighted with blue. (C) </w:t>
      </w:r>
      <w:r w:rsidR="00FF056B">
        <w:rPr>
          <w:rFonts w:ascii="Times New Roman" w:hAnsi="Times New Roman" w:cs="Times New Roman"/>
        </w:rPr>
        <w:t xml:space="preserve">Sequence logo depicting residue conservation among human chemokine paralogs at the five mutated positions. </w:t>
      </w:r>
      <w:r w:rsidR="00AA01C1">
        <w:rPr>
          <w:rFonts w:ascii="Times New Roman" w:hAnsi="Times New Roman" w:cs="Times New Roman"/>
        </w:rPr>
        <w:t xml:space="preserve">(D) Structural context of the two conserved Proline residues; both occur in loops adjacent to alpha helices. (E) </w:t>
      </w:r>
      <w:r w:rsidR="00CA2BDF">
        <w:rPr>
          <w:rFonts w:ascii="Times New Roman" w:hAnsi="Times New Roman" w:cs="Times New Roman"/>
        </w:rPr>
        <w:t xml:space="preserve">Chemokine-GPCR model </w:t>
      </w:r>
      <w:r w:rsidR="007124B4">
        <w:rPr>
          <w:rFonts w:ascii="Times New Roman" w:hAnsi="Times New Roman" w:cs="Times New Roman"/>
        </w:rPr>
        <w:t xml:space="preserve">of the CCL5-CCR5 complex </w:t>
      </w:r>
      <w:r w:rsidR="00CA2BDF">
        <w:rPr>
          <w:rFonts w:ascii="Times New Roman" w:hAnsi="Times New Roman" w:cs="Times New Roman"/>
        </w:rPr>
        <w:t xml:space="preserve">(Zheng, et al. 2017. Immunity) depicting sulfated chemokine receptor N-terminus. </w:t>
      </w:r>
      <w:r w:rsidR="00650C69">
        <w:rPr>
          <w:rFonts w:ascii="Times New Roman" w:hAnsi="Times New Roman" w:cs="Times New Roman"/>
        </w:rPr>
        <w:t xml:space="preserve">(F) CCL4 N-terminus with CCN designations on the left and putative sulfotyrosine motif labeled. (G) </w:t>
      </w:r>
      <w:r w:rsidR="00B9446C">
        <w:rPr>
          <w:rFonts w:ascii="Times New Roman" w:hAnsi="Times New Roman" w:cs="Times New Roman"/>
        </w:rPr>
        <w:t xml:space="preserve">Structural depiction of </w:t>
      </w:r>
      <w:r w:rsidR="00AF532E">
        <w:rPr>
          <w:rFonts w:ascii="Times New Roman" w:hAnsi="Times New Roman" w:cs="Times New Roman"/>
        </w:rPr>
        <w:t>L45R (top) and P46R (bottom) mutations relative to positions of the putative CCR4 sulfotyrosine motif (made using Zheng, et al. 2017 model).</w:t>
      </w:r>
      <w:r w:rsidR="00A938B0">
        <w:rPr>
          <w:rFonts w:ascii="Times New Roman" w:hAnsi="Times New Roman" w:cs="Times New Roman"/>
        </w:rPr>
        <w:t xml:space="preserve"> (H) </w:t>
      </w:r>
      <w:r w:rsidR="00AB6023">
        <w:rPr>
          <w:rFonts w:ascii="Times New Roman" w:hAnsi="Times New Roman" w:cs="Times New Roman"/>
        </w:rPr>
        <w:t xml:space="preserve">Mutations to basic residues at CCL22 residues 45 or 46 would likely enhance CCL22 interactions with CCR4 N-terminus via electrostatic interactions with E23 and sulfated Y22. (I) </w:t>
      </w:r>
      <w:r w:rsidR="006969A9">
        <w:rPr>
          <w:rFonts w:ascii="Times New Roman" w:hAnsi="Times New Roman" w:cs="Times New Roman"/>
        </w:rPr>
        <w:t xml:space="preserve">Comparison of CCL20-CCR6 and CCL5[5P7]-CCR5 chemokine-GPCR complexes reveals that the residue at CCN position b3h.2 </w:t>
      </w:r>
      <w:r w:rsidR="00CE76FC">
        <w:rPr>
          <w:rFonts w:ascii="Times New Roman" w:hAnsi="Times New Roman" w:cs="Times New Roman"/>
        </w:rPr>
        <w:t xml:space="preserve">interacts with the receptor residue at position ECL2.Cp6 in the CCL5[5P7]-CCR5 complex but not the CCL20-CCR6 complex due to different orientations of the chemokine and receptor to one another (arrows). </w:t>
      </w:r>
      <w:r w:rsidR="00594C8D">
        <w:rPr>
          <w:rFonts w:ascii="Times New Roman" w:hAnsi="Times New Roman" w:cs="Times New Roman"/>
        </w:rPr>
        <w:t>(J</w:t>
      </w:r>
      <w:r w:rsidR="003F5970">
        <w:rPr>
          <w:rFonts w:ascii="Times New Roman" w:hAnsi="Times New Roman" w:cs="Times New Roman"/>
        </w:rPr>
        <w:t>,K</w:t>
      </w:r>
      <w:r w:rsidR="00594C8D">
        <w:rPr>
          <w:rFonts w:ascii="Times New Roman" w:hAnsi="Times New Roman" w:cs="Times New Roman"/>
        </w:rPr>
        <w:t>)</w:t>
      </w:r>
      <w:r w:rsidR="005372CE">
        <w:rPr>
          <w:rFonts w:ascii="Times New Roman" w:hAnsi="Times New Roman" w:cs="Times New Roman"/>
        </w:rPr>
        <w:t xml:space="preserve"> Mutation of </w:t>
      </w:r>
      <w:r w:rsidR="004303F0">
        <w:rPr>
          <w:rFonts w:ascii="Times New Roman" w:hAnsi="Times New Roman" w:cs="Times New Roman"/>
        </w:rPr>
        <w:t xml:space="preserve">the </w:t>
      </w:r>
      <w:r w:rsidR="003F5970">
        <w:rPr>
          <w:rFonts w:ascii="Times New Roman" w:hAnsi="Times New Roman" w:cs="Times New Roman"/>
        </w:rPr>
        <w:t xml:space="preserve">CCL22 residue at position b3h.2 may promote or disrupt interactions with residues in ECL2 of CCR4 depending on the </w:t>
      </w:r>
      <w:r w:rsidR="003936B2">
        <w:rPr>
          <w:rFonts w:ascii="Times New Roman" w:hAnsi="Times New Roman" w:cs="Times New Roman"/>
        </w:rPr>
        <w:t>residue mutation</w:t>
      </w:r>
      <w:r w:rsidR="003F5970">
        <w:rPr>
          <w:rFonts w:ascii="Times New Roman" w:hAnsi="Times New Roman" w:cs="Times New Roman"/>
        </w:rPr>
        <w:t xml:space="preserve">. </w:t>
      </w:r>
    </w:p>
    <w:p w14:paraId="48242DB7" w14:textId="77777777" w:rsidR="00F73B24" w:rsidRDefault="00F73B24">
      <w:pPr>
        <w:rPr>
          <w:rFonts w:ascii="Times New Roman" w:hAnsi="Times New Roman" w:cs="Times New Roman"/>
        </w:rPr>
      </w:pPr>
    </w:p>
    <w:p w14:paraId="61E9A580" w14:textId="77777777" w:rsidR="00F73B24" w:rsidRDefault="00F73B24">
      <w:pPr>
        <w:rPr>
          <w:rFonts w:ascii="Times New Roman" w:hAnsi="Times New Roman" w:cs="Times New Roman"/>
        </w:rPr>
      </w:pPr>
    </w:p>
    <w:p w14:paraId="32A8DF56" w14:textId="77777777" w:rsidR="00F73B24" w:rsidRDefault="00F73B24">
      <w:pPr>
        <w:rPr>
          <w:rFonts w:ascii="Times New Roman" w:hAnsi="Times New Roman" w:cs="Times New Roman"/>
        </w:rPr>
      </w:pPr>
    </w:p>
    <w:p w14:paraId="19361CDD" w14:textId="77777777" w:rsidR="00F73B24" w:rsidRDefault="00F73B24">
      <w:pPr>
        <w:rPr>
          <w:rFonts w:ascii="Times New Roman" w:hAnsi="Times New Roman" w:cs="Times New Roman"/>
        </w:rPr>
      </w:pPr>
    </w:p>
    <w:p w14:paraId="6D7AEB4A" w14:textId="77777777" w:rsidR="00F73B24" w:rsidRDefault="00F73B24">
      <w:pPr>
        <w:rPr>
          <w:rFonts w:ascii="Times New Roman" w:hAnsi="Times New Roman" w:cs="Times New Roman"/>
        </w:rPr>
      </w:pPr>
    </w:p>
    <w:p w14:paraId="0DD1F779" w14:textId="77777777" w:rsidR="00F73B24" w:rsidRDefault="00F73B24">
      <w:pPr>
        <w:rPr>
          <w:rFonts w:ascii="Times New Roman" w:hAnsi="Times New Roman" w:cs="Times New Roman"/>
        </w:rPr>
      </w:pPr>
    </w:p>
    <w:p w14:paraId="2FA05E70" w14:textId="77777777" w:rsidR="00F73B24" w:rsidRDefault="00F73B24">
      <w:pPr>
        <w:rPr>
          <w:rFonts w:ascii="Times New Roman" w:hAnsi="Times New Roman" w:cs="Times New Roman"/>
        </w:rPr>
      </w:pPr>
    </w:p>
    <w:p w14:paraId="43A03E7D" w14:textId="77777777" w:rsidR="00F73B24" w:rsidRDefault="00F73B24">
      <w:pPr>
        <w:rPr>
          <w:rFonts w:ascii="Times New Roman" w:hAnsi="Times New Roman" w:cs="Times New Roman"/>
        </w:rPr>
      </w:pPr>
    </w:p>
    <w:p w14:paraId="4C756CBE" w14:textId="77777777" w:rsidR="00F73B24" w:rsidRDefault="00F73B24">
      <w:pPr>
        <w:rPr>
          <w:rFonts w:ascii="Times New Roman" w:hAnsi="Times New Roman" w:cs="Times New Roman"/>
        </w:rPr>
      </w:pPr>
    </w:p>
    <w:p w14:paraId="69EE3313" w14:textId="77777777" w:rsidR="00F73B24" w:rsidRDefault="00F73B24">
      <w:pPr>
        <w:rPr>
          <w:rFonts w:ascii="Times New Roman" w:hAnsi="Times New Roman" w:cs="Times New Roman"/>
        </w:rPr>
      </w:pPr>
    </w:p>
    <w:p w14:paraId="5AB66B85" w14:textId="77777777" w:rsidR="00F73B24" w:rsidRDefault="00F73B24">
      <w:pPr>
        <w:rPr>
          <w:rFonts w:ascii="Times New Roman" w:hAnsi="Times New Roman" w:cs="Times New Roman"/>
        </w:rPr>
      </w:pPr>
    </w:p>
    <w:p w14:paraId="103D6BB0" w14:textId="77777777" w:rsidR="00F73B24" w:rsidRDefault="00F73B24">
      <w:pPr>
        <w:rPr>
          <w:rFonts w:ascii="Times New Roman" w:hAnsi="Times New Roman" w:cs="Times New Roman"/>
        </w:rPr>
      </w:pPr>
    </w:p>
    <w:p w14:paraId="32E857B7" w14:textId="77777777" w:rsidR="00F73B24" w:rsidRDefault="00F73B24">
      <w:pPr>
        <w:rPr>
          <w:rFonts w:ascii="Times New Roman" w:hAnsi="Times New Roman" w:cs="Times New Roman"/>
        </w:rPr>
      </w:pPr>
    </w:p>
    <w:p w14:paraId="5A9271CF" w14:textId="77777777" w:rsidR="00F73B24" w:rsidRDefault="00F73B24">
      <w:pPr>
        <w:rPr>
          <w:rFonts w:ascii="Times New Roman" w:hAnsi="Times New Roman" w:cs="Times New Roman"/>
        </w:rPr>
      </w:pPr>
    </w:p>
    <w:p w14:paraId="06BF4A77" w14:textId="77777777" w:rsidR="00F73B24" w:rsidRDefault="00F73B24">
      <w:pPr>
        <w:rPr>
          <w:rFonts w:ascii="Times New Roman" w:hAnsi="Times New Roman" w:cs="Times New Roman"/>
        </w:rPr>
      </w:pPr>
    </w:p>
    <w:p w14:paraId="371A8C42" w14:textId="77777777" w:rsidR="00F73B24" w:rsidRDefault="00F73B24">
      <w:pPr>
        <w:rPr>
          <w:rFonts w:ascii="Times New Roman" w:hAnsi="Times New Roman" w:cs="Times New Roman"/>
        </w:rPr>
      </w:pPr>
    </w:p>
    <w:p w14:paraId="217D51F3" w14:textId="77777777" w:rsidR="00F73B24" w:rsidRDefault="00F73B24">
      <w:pPr>
        <w:rPr>
          <w:rFonts w:ascii="Times New Roman" w:hAnsi="Times New Roman" w:cs="Times New Roman"/>
        </w:rPr>
      </w:pPr>
    </w:p>
    <w:p w14:paraId="05C01CF2" w14:textId="77777777" w:rsidR="00F73B24" w:rsidRDefault="00F73B24">
      <w:pPr>
        <w:rPr>
          <w:rFonts w:ascii="Times New Roman" w:hAnsi="Times New Roman" w:cs="Times New Roman"/>
        </w:rPr>
      </w:pPr>
    </w:p>
    <w:p w14:paraId="7AE99DD4" w14:textId="77777777" w:rsidR="00F73B24" w:rsidRDefault="00F73B24">
      <w:pPr>
        <w:rPr>
          <w:rFonts w:ascii="Times New Roman" w:hAnsi="Times New Roman" w:cs="Times New Roman"/>
        </w:rPr>
      </w:pPr>
    </w:p>
    <w:p w14:paraId="3AB2E5B3" w14:textId="77777777" w:rsidR="00F73B24" w:rsidRDefault="00F73B24">
      <w:pPr>
        <w:rPr>
          <w:rFonts w:ascii="Times New Roman" w:hAnsi="Times New Roman" w:cs="Times New Roman"/>
        </w:rPr>
      </w:pPr>
    </w:p>
    <w:p w14:paraId="5D70444E" w14:textId="77777777" w:rsidR="00F73B24" w:rsidRDefault="00F73B24">
      <w:pPr>
        <w:rPr>
          <w:rFonts w:ascii="Times New Roman" w:hAnsi="Times New Roman" w:cs="Times New Roman"/>
        </w:rPr>
      </w:pPr>
    </w:p>
    <w:p w14:paraId="16E966F3" w14:textId="77777777" w:rsidR="00F73B24" w:rsidRDefault="00F73B24">
      <w:pPr>
        <w:rPr>
          <w:rFonts w:ascii="Times New Roman" w:hAnsi="Times New Roman" w:cs="Times New Roman"/>
        </w:rPr>
      </w:pPr>
    </w:p>
    <w:p w14:paraId="2D37A44A" w14:textId="77777777" w:rsidR="00F73B24" w:rsidRDefault="00F73B24">
      <w:pPr>
        <w:rPr>
          <w:rFonts w:ascii="Times New Roman" w:hAnsi="Times New Roman" w:cs="Times New Roman"/>
        </w:rPr>
      </w:pPr>
    </w:p>
    <w:p w14:paraId="6CC0B29B" w14:textId="77777777" w:rsidR="00F73B24" w:rsidRDefault="00F73B24">
      <w:pPr>
        <w:rPr>
          <w:rFonts w:ascii="Times New Roman" w:hAnsi="Times New Roman" w:cs="Times New Roman"/>
        </w:rPr>
      </w:pPr>
    </w:p>
    <w:p w14:paraId="5C70AEAB" w14:textId="2204396F" w:rsidR="001E3AD4" w:rsidRDefault="003F5970">
      <w:pPr>
        <w:rPr>
          <w:rFonts w:ascii="Times New Roman" w:hAnsi="Times New Roman" w:cs="Times New Roman"/>
          <w:b/>
          <w:bCs/>
        </w:rPr>
      </w:pPr>
      <w:r>
        <w:rPr>
          <w:rFonts w:ascii="Times New Roman" w:hAnsi="Times New Roman" w:cs="Times New Roman"/>
        </w:rPr>
        <w:lastRenderedPageBreak/>
        <w:t xml:space="preserve"> </w:t>
      </w:r>
      <w:r w:rsidR="00F73B24" w:rsidRPr="00955621">
        <w:rPr>
          <w:rFonts w:ascii="Times New Roman" w:hAnsi="Times New Roman" w:cs="Times New Roman"/>
          <w:b/>
          <w:bCs/>
        </w:rPr>
        <w:t>Inferring functional roles for mutated residues in CCL22-CCR4 interactions.</w:t>
      </w:r>
    </w:p>
    <w:p w14:paraId="171C1E6F" w14:textId="2CC84A43" w:rsidR="003026C2" w:rsidRDefault="003026C2">
      <w:pPr>
        <w:rPr>
          <w:rFonts w:ascii="Times New Roman" w:hAnsi="Times New Roman" w:cs="Times New Roman"/>
          <w:b/>
          <w:bCs/>
        </w:rPr>
      </w:pPr>
    </w:p>
    <w:p w14:paraId="1AD5C030" w14:textId="195996BA" w:rsidR="003026C2" w:rsidRDefault="00635264">
      <w:pPr>
        <w:rPr>
          <w:rFonts w:ascii="Times New Roman" w:hAnsi="Times New Roman" w:cs="Times New Roman"/>
        </w:rPr>
      </w:pPr>
      <w:r>
        <w:rPr>
          <w:rFonts w:ascii="Times New Roman" w:hAnsi="Times New Roman" w:cs="Times New Roman"/>
        </w:rPr>
        <w:t xml:space="preserve">Identified CCL22 mutations were mapped onto chemokine-GPCR complexes to infer functional roles for mutations in CCR4 recognition. </w:t>
      </w:r>
      <w:r w:rsidR="002749F6">
        <w:rPr>
          <w:rFonts w:ascii="Times New Roman" w:hAnsi="Times New Roman" w:cs="Times New Roman"/>
        </w:rPr>
        <w:t xml:space="preserve">Broadly, mutations cluster into three </w:t>
      </w:r>
      <w:r w:rsidR="00770B6F">
        <w:rPr>
          <w:rFonts w:ascii="Times New Roman" w:hAnsi="Times New Roman" w:cs="Times New Roman"/>
        </w:rPr>
        <w:t>secondary structural elements (SSEs)</w:t>
      </w:r>
      <w:r w:rsidR="002749F6">
        <w:rPr>
          <w:rFonts w:ascii="Times New Roman" w:hAnsi="Times New Roman" w:cs="Times New Roman"/>
        </w:rPr>
        <w:t xml:space="preserve">, including </w:t>
      </w:r>
      <w:r w:rsidR="00770B6F">
        <w:rPr>
          <w:rFonts w:ascii="Times New Roman" w:hAnsi="Times New Roman" w:cs="Times New Roman"/>
        </w:rPr>
        <w:t>the N-loop (i.e. cxb1 using the Common Chemokine Nomenclature, CCN), the 50s-loop (i.e. b3h), and the C-terminal alpha helix (i.e. H) (</w:t>
      </w:r>
      <w:r w:rsidR="00770B6F" w:rsidRPr="00770B6F">
        <w:rPr>
          <w:rFonts w:ascii="Times New Roman" w:hAnsi="Times New Roman" w:cs="Times New Roman"/>
          <w:b/>
          <w:bCs/>
        </w:rPr>
        <w:t>Figure 1A</w:t>
      </w:r>
      <w:r w:rsidR="00770B6F">
        <w:rPr>
          <w:rFonts w:ascii="Times New Roman" w:hAnsi="Times New Roman" w:cs="Times New Roman"/>
        </w:rPr>
        <w:t xml:space="preserve">). In these regions, identified CCL22 mutations are likely to impact </w:t>
      </w:r>
      <w:r w:rsidR="00195A97">
        <w:rPr>
          <w:rFonts w:ascii="Times New Roman" w:hAnsi="Times New Roman" w:cs="Times New Roman"/>
        </w:rPr>
        <w:t xml:space="preserve">CCR4 recognition through altered interactions with the CCR4 N-terminus and extracellular loop 2 (ECL2) </w:t>
      </w:r>
      <w:r w:rsidR="007049FF">
        <w:rPr>
          <w:rFonts w:ascii="Times New Roman" w:hAnsi="Times New Roman" w:cs="Times New Roman"/>
        </w:rPr>
        <w:t xml:space="preserve">based upon the known architecture of chemokine-GPCR complexes </w:t>
      </w:r>
      <w:r w:rsidR="00195A97">
        <w:rPr>
          <w:rFonts w:ascii="Times New Roman" w:hAnsi="Times New Roman" w:cs="Times New Roman"/>
        </w:rPr>
        <w:t>(</w:t>
      </w:r>
      <w:r w:rsidR="00195A97" w:rsidRPr="00195A97">
        <w:rPr>
          <w:rFonts w:ascii="Times New Roman" w:hAnsi="Times New Roman" w:cs="Times New Roman"/>
          <w:b/>
          <w:bCs/>
        </w:rPr>
        <w:t>Figure 1A</w:t>
      </w:r>
      <w:r w:rsidR="00195A97">
        <w:rPr>
          <w:rFonts w:ascii="Times New Roman" w:hAnsi="Times New Roman" w:cs="Times New Roman"/>
        </w:rPr>
        <w:t>).</w:t>
      </w:r>
    </w:p>
    <w:p w14:paraId="1CF81445" w14:textId="742E6578" w:rsidR="00512907" w:rsidRDefault="00512907">
      <w:pPr>
        <w:rPr>
          <w:rFonts w:ascii="Times New Roman" w:hAnsi="Times New Roman" w:cs="Times New Roman"/>
        </w:rPr>
      </w:pPr>
    </w:p>
    <w:p w14:paraId="32F79498" w14:textId="50926949" w:rsidR="00512907" w:rsidRDefault="00236436">
      <w:pPr>
        <w:rPr>
          <w:rFonts w:ascii="Times New Roman" w:hAnsi="Times New Roman" w:cs="Times New Roman"/>
        </w:rPr>
      </w:pPr>
      <w:r>
        <w:rPr>
          <w:rFonts w:ascii="Times New Roman" w:hAnsi="Times New Roman" w:cs="Times New Roman"/>
        </w:rPr>
        <w:t>Eight distinct mutations were identified at five sites</w:t>
      </w:r>
      <w:r w:rsidR="00D3543F">
        <w:rPr>
          <w:rFonts w:ascii="Times New Roman" w:hAnsi="Times New Roman" w:cs="Times New Roman"/>
        </w:rPr>
        <w:t>, including two mutations at L</w:t>
      </w:r>
      <w:r w:rsidR="00A62F31">
        <w:rPr>
          <w:rFonts w:ascii="Times New Roman" w:hAnsi="Times New Roman" w:cs="Times New Roman"/>
        </w:rPr>
        <w:t>eu</w:t>
      </w:r>
      <w:r w:rsidR="00D3543F">
        <w:rPr>
          <w:rFonts w:ascii="Times New Roman" w:hAnsi="Times New Roman" w:cs="Times New Roman"/>
        </w:rPr>
        <w:t>45 (CCN position cxb1.13)</w:t>
      </w:r>
      <w:r w:rsidR="00A62F31">
        <w:rPr>
          <w:rFonts w:ascii="Times New Roman" w:hAnsi="Times New Roman" w:cs="Times New Roman"/>
        </w:rPr>
        <w:t xml:space="preserve">, </w:t>
      </w:r>
      <w:r w:rsidR="005B4320">
        <w:rPr>
          <w:rFonts w:ascii="Times New Roman" w:hAnsi="Times New Roman" w:cs="Times New Roman"/>
        </w:rPr>
        <w:t xml:space="preserve">one mutation at </w:t>
      </w:r>
      <w:r w:rsidR="00A62F31">
        <w:rPr>
          <w:rFonts w:ascii="Times New Roman" w:hAnsi="Times New Roman" w:cs="Times New Roman"/>
        </w:rPr>
        <w:t>Pro46</w:t>
      </w:r>
      <w:r w:rsidR="00717B3D">
        <w:rPr>
          <w:rFonts w:ascii="Times New Roman" w:hAnsi="Times New Roman" w:cs="Times New Roman"/>
        </w:rPr>
        <w:t xml:space="preserve"> (CCN cxb1.14)</w:t>
      </w:r>
      <w:r w:rsidR="005B4320">
        <w:rPr>
          <w:rFonts w:ascii="Times New Roman" w:hAnsi="Times New Roman" w:cs="Times New Roman"/>
        </w:rPr>
        <w:t xml:space="preserve">, three mutations at </w:t>
      </w:r>
      <w:r w:rsidR="00717B3D">
        <w:rPr>
          <w:rFonts w:ascii="Times New Roman" w:hAnsi="Times New Roman" w:cs="Times New Roman"/>
        </w:rPr>
        <w:t>Pro79 (CCN b3h.2)</w:t>
      </w:r>
      <w:r w:rsidR="00BD4630">
        <w:rPr>
          <w:rFonts w:ascii="Times New Roman" w:hAnsi="Times New Roman" w:cs="Times New Roman"/>
        </w:rPr>
        <w:t>, one mutation at Ile87 (CCN H.6), and one mutation at Lys90 (CCN H.9)</w:t>
      </w:r>
      <w:r w:rsidR="00E927ED">
        <w:rPr>
          <w:rFonts w:ascii="Times New Roman" w:hAnsi="Times New Roman" w:cs="Times New Roman"/>
        </w:rPr>
        <w:t xml:space="preserve"> (</w:t>
      </w:r>
      <w:r w:rsidR="00E927ED" w:rsidRPr="00E927ED">
        <w:rPr>
          <w:rFonts w:ascii="Times New Roman" w:hAnsi="Times New Roman" w:cs="Times New Roman"/>
          <w:b/>
          <w:bCs/>
        </w:rPr>
        <w:t>Figure 1B</w:t>
      </w:r>
      <w:r w:rsidR="00E927ED">
        <w:rPr>
          <w:rFonts w:ascii="Times New Roman" w:hAnsi="Times New Roman" w:cs="Times New Roman"/>
        </w:rPr>
        <w:t>)</w:t>
      </w:r>
      <w:r w:rsidR="00BD4630">
        <w:rPr>
          <w:rFonts w:ascii="Times New Roman" w:hAnsi="Times New Roman" w:cs="Times New Roman"/>
        </w:rPr>
        <w:t xml:space="preserve">. </w:t>
      </w:r>
      <w:r w:rsidR="007609B9">
        <w:rPr>
          <w:rFonts w:ascii="Times New Roman" w:hAnsi="Times New Roman" w:cs="Times New Roman"/>
        </w:rPr>
        <w:t xml:space="preserve">Notably, </w:t>
      </w:r>
      <w:r w:rsidR="00100558">
        <w:rPr>
          <w:rFonts w:ascii="Times New Roman" w:hAnsi="Times New Roman" w:cs="Times New Roman"/>
        </w:rPr>
        <w:t xml:space="preserve">mutations at all but one of these sites </w:t>
      </w:r>
      <w:r w:rsidR="00F81CE4">
        <w:rPr>
          <w:rFonts w:ascii="Times New Roman" w:hAnsi="Times New Roman" w:cs="Times New Roman"/>
        </w:rPr>
        <w:t>include substitutions of basic residues</w:t>
      </w:r>
      <w:r w:rsidR="00EB1814">
        <w:rPr>
          <w:rFonts w:ascii="Times New Roman" w:hAnsi="Times New Roman" w:cs="Times New Roman"/>
        </w:rPr>
        <w:t xml:space="preserve">. Importantly, chemokines are enriched </w:t>
      </w:r>
      <w:r w:rsidR="00E46697">
        <w:rPr>
          <w:rFonts w:ascii="Times New Roman" w:hAnsi="Times New Roman" w:cs="Times New Roman"/>
        </w:rPr>
        <w:t xml:space="preserve">in basic residues, which </w:t>
      </w:r>
      <w:r w:rsidR="002D615D">
        <w:rPr>
          <w:rFonts w:ascii="Times New Roman" w:hAnsi="Times New Roman" w:cs="Times New Roman"/>
        </w:rPr>
        <w:t>facilitates</w:t>
      </w:r>
      <w:r w:rsidR="00A62BE8">
        <w:rPr>
          <w:rFonts w:ascii="Times New Roman" w:hAnsi="Times New Roman" w:cs="Times New Roman"/>
        </w:rPr>
        <w:t xml:space="preserve"> interact</w:t>
      </w:r>
      <w:r w:rsidR="002D615D">
        <w:rPr>
          <w:rFonts w:ascii="Times New Roman" w:hAnsi="Times New Roman" w:cs="Times New Roman"/>
        </w:rPr>
        <w:t>ions</w:t>
      </w:r>
      <w:r w:rsidR="00A62BE8">
        <w:rPr>
          <w:rFonts w:ascii="Times New Roman" w:hAnsi="Times New Roman" w:cs="Times New Roman"/>
        </w:rPr>
        <w:t xml:space="preserve"> with </w:t>
      </w:r>
      <w:r w:rsidR="002D615D">
        <w:rPr>
          <w:rFonts w:ascii="Times New Roman" w:hAnsi="Times New Roman" w:cs="Times New Roman"/>
        </w:rPr>
        <w:t xml:space="preserve">negatively charged </w:t>
      </w:r>
      <w:r w:rsidR="00A62BE8">
        <w:rPr>
          <w:rFonts w:ascii="Times New Roman" w:hAnsi="Times New Roman" w:cs="Times New Roman"/>
        </w:rPr>
        <w:t>glycosaminoglycans (GAGs)</w:t>
      </w:r>
      <w:r w:rsidR="00FC0254">
        <w:rPr>
          <w:rFonts w:ascii="Times New Roman" w:hAnsi="Times New Roman" w:cs="Times New Roman"/>
        </w:rPr>
        <w:t xml:space="preserve"> in the formation of chemokine gradients</w:t>
      </w:r>
      <w:r w:rsidR="004710C2">
        <w:rPr>
          <w:rFonts w:ascii="Times New Roman" w:hAnsi="Times New Roman" w:cs="Times New Roman"/>
        </w:rPr>
        <w:t>.</w:t>
      </w:r>
    </w:p>
    <w:p w14:paraId="1BDDF6C7" w14:textId="2D51014B" w:rsidR="005D20ED" w:rsidRDefault="005D20ED">
      <w:pPr>
        <w:rPr>
          <w:rFonts w:ascii="Times New Roman" w:hAnsi="Times New Roman" w:cs="Times New Roman"/>
        </w:rPr>
      </w:pPr>
    </w:p>
    <w:p w14:paraId="17AB5B49" w14:textId="169B07D6" w:rsidR="005D20ED" w:rsidRDefault="005D20ED">
      <w:pPr>
        <w:rPr>
          <w:rFonts w:ascii="Times New Roman" w:hAnsi="Times New Roman" w:cs="Times New Roman"/>
        </w:rPr>
      </w:pPr>
      <w:r>
        <w:rPr>
          <w:rFonts w:ascii="Times New Roman" w:hAnsi="Times New Roman" w:cs="Times New Roman"/>
        </w:rPr>
        <w:t>Comparison of residue conservation among human chemokine paralogs reveals that two of the five sites mutated are comprised of conserved prolines</w:t>
      </w:r>
      <w:r w:rsidR="00124146">
        <w:rPr>
          <w:rFonts w:ascii="Times New Roman" w:hAnsi="Times New Roman" w:cs="Times New Roman"/>
        </w:rPr>
        <w:t xml:space="preserve"> (</w:t>
      </w:r>
      <w:r w:rsidR="00124146" w:rsidRPr="00124146">
        <w:rPr>
          <w:rFonts w:ascii="Times New Roman" w:hAnsi="Times New Roman" w:cs="Times New Roman"/>
          <w:b/>
          <w:bCs/>
        </w:rPr>
        <w:t>Figure 1C</w:t>
      </w:r>
      <w:r w:rsidR="00124146">
        <w:rPr>
          <w:rFonts w:ascii="Times New Roman" w:hAnsi="Times New Roman" w:cs="Times New Roman"/>
        </w:rPr>
        <w:t>)</w:t>
      </w:r>
      <w:r>
        <w:rPr>
          <w:rFonts w:ascii="Times New Roman" w:hAnsi="Times New Roman" w:cs="Times New Roman"/>
        </w:rPr>
        <w:t xml:space="preserve">. </w:t>
      </w:r>
      <w:r w:rsidR="00124146">
        <w:rPr>
          <w:rFonts w:ascii="Times New Roman" w:hAnsi="Times New Roman" w:cs="Times New Roman"/>
        </w:rPr>
        <w:t>Both prolines occur in chemokine loop regions, and closer inspection suggests that they form structural roles by facilitating sharp turns, which, in both cases, precede alpha helices (</w:t>
      </w:r>
      <w:r w:rsidR="00124146" w:rsidRPr="00124146">
        <w:rPr>
          <w:rFonts w:ascii="Times New Roman" w:hAnsi="Times New Roman" w:cs="Times New Roman"/>
          <w:b/>
          <w:bCs/>
        </w:rPr>
        <w:t>Figure 1D</w:t>
      </w:r>
      <w:r w:rsidR="00124146">
        <w:rPr>
          <w:rFonts w:ascii="Times New Roman" w:hAnsi="Times New Roman" w:cs="Times New Roman"/>
        </w:rPr>
        <w:t>).</w:t>
      </w:r>
      <w:r>
        <w:rPr>
          <w:rFonts w:ascii="Times New Roman" w:hAnsi="Times New Roman" w:cs="Times New Roman"/>
        </w:rPr>
        <w:t xml:space="preserve"> </w:t>
      </w:r>
    </w:p>
    <w:p w14:paraId="5488656C" w14:textId="0FA7C16B" w:rsidR="000B1B3D" w:rsidRDefault="000B1B3D">
      <w:pPr>
        <w:rPr>
          <w:rFonts w:ascii="Times New Roman" w:hAnsi="Times New Roman" w:cs="Times New Roman"/>
        </w:rPr>
      </w:pPr>
    </w:p>
    <w:p w14:paraId="31B3EFE7" w14:textId="4B154851" w:rsidR="000B1B3D" w:rsidRPr="001C2322" w:rsidRDefault="00930B58">
      <w:pPr>
        <w:rPr>
          <w:rFonts w:ascii="Times New Roman" w:hAnsi="Times New Roman" w:cs="Times New Roman"/>
        </w:rPr>
      </w:pPr>
      <w:r>
        <w:rPr>
          <w:rFonts w:ascii="Times New Roman" w:hAnsi="Times New Roman" w:cs="Times New Roman"/>
        </w:rPr>
        <w:t>Chemokine receptors are known to undergo sulfation at tyrosine residues in the receptor N-terminus, and sulfated tyrosine residues (sTyr) help form key interactions for chemokine recognition (</w:t>
      </w:r>
      <w:r w:rsidRPr="00930B58">
        <w:rPr>
          <w:rFonts w:ascii="Times New Roman" w:hAnsi="Times New Roman" w:cs="Times New Roman"/>
          <w:b/>
          <w:bCs/>
        </w:rPr>
        <w:t>Figure 1E</w:t>
      </w:r>
      <w:r>
        <w:rPr>
          <w:rFonts w:ascii="Times New Roman" w:hAnsi="Times New Roman" w:cs="Times New Roman"/>
        </w:rPr>
        <w:t xml:space="preserve">). sTyr modifications occur at tyrosines adjacent to acidic </w:t>
      </w:r>
      <w:r w:rsidR="000C1392">
        <w:rPr>
          <w:rFonts w:ascii="Times New Roman" w:hAnsi="Times New Roman" w:cs="Times New Roman"/>
        </w:rPr>
        <w:t>residues</w:t>
      </w:r>
      <w:r>
        <w:rPr>
          <w:rFonts w:ascii="Times New Roman" w:hAnsi="Times New Roman" w:cs="Times New Roman"/>
        </w:rPr>
        <w:t xml:space="preserve">. </w:t>
      </w:r>
      <w:r w:rsidR="00C8141F">
        <w:rPr>
          <w:rFonts w:ascii="Times New Roman" w:hAnsi="Times New Roman" w:cs="Times New Roman"/>
        </w:rPr>
        <w:t xml:space="preserve">Examination of the CCR4 N-terminus reveals a </w:t>
      </w:r>
      <w:r w:rsidR="00A00FD3">
        <w:rPr>
          <w:rFonts w:ascii="Times New Roman" w:hAnsi="Times New Roman" w:cs="Times New Roman"/>
        </w:rPr>
        <w:t>Tyr-Glu motif in the receptor N-terminus</w:t>
      </w:r>
      <w:r w:rsidR="00C732B9">
        <w:rPr>
          <w:rFonts w:ascii="Times New Roman" w:hAnsi="Times New Roman" w:cs="Times New Roman"/>
        </w:rPr>
        <w:t>, suggesting that this motif may undergo sTyr modification</w:t>
      </w:r>
      <w:r w:rsidR="00130088">
        <w:rPr>
          <w:rFonts w:ascii="Times New Roman" w:hAnsi="Times New Roman" w:cs="Times New Roman"/>
        </w:rPr>
        <w:t xml:space="preserve"> (</w:t>
      </w:r>
      <w:r w:rsidR="00130088" w:rsidRPr="00130088">
        <w:rPr>
          <w:rFonts w:ascii="Times New Roman" w:hAnsi="Times New Roman" w:cs="Times New Roman"/>
          <w:b/>
          <w:bCs/>
        </w:rPr>
        <w:t>Figure 1F</w:t>
      </w:r>
      <w:r w:rsidR="00130088">
        <w:rPr>
          <w:rFonts w:ascii="Times New Roman" w:hAnsi="Times New Roman" w:cs="Times New Roman"/>
        </w:rPr>
        <w:t>)</w:t>
      </w:r>
      <w:r w:rsidR="00C732B9">
        <w:rPr>
          <w:rFonts w:ascii="Times New Roman" w:hAnsi="Times New Roman" w:cs="Times New Roman"/>
        </w:rPr>
        <w:t xml:space="preserve">. </w:t>
      </w:r>
      <w:r w:rsidR="00DD5819">
        <w:rPr>
          <w:rFonts w:ascii="Times New Roman" w:hAnsi="Times New Roman" w:cs="Times New Roman"/>
        </w:rPr>
        <w:t>The location of the putative sTyr motif was mapped onto an existing chemokine-GPCR compl</w:t>
      </w:r>
      <w:r w:rsidR="00034616">
        <w:rPr>
          <w:rFonts w:ascii="Times New Roman" w:hAnsi="Times New Roman" w:cs="Times New Roman"/>
        </w:rPr>
        <w:t xml:space="preserve">ex (i.e. CCL5-CCR5; see </w:t>
      </w:r>
      <w:r w:rsidR="00875377">
        <w:rPr>
          <w:rFonts w:ascii="Times New Roman" w:hAnsi="Times New Roman" w:cs="Times New Roman"/>
        </w:rPr>
        <w:t>Zheng, et al. 2017)</w:t>
      </w:r>
      <w:r w:rsidR="00A264A8">
        <w:rPr>
          <w:rFonts w:ascii="Times New Roman" w:hAnsi="Times New Roman" w:cs="Times New Roman"/>
        </w:rPr>
        <w:t xml:space="preserve"> and compared with that of t</w:t>
      </w:r>
      <w:r w:rsidR="00E723DB">
        <w:rPr>
          <w:rFonts w:ascii="Times New Roman" w:hAnsi="Times New Roman" w:cs="Times New Roman"/>
        </w:rPr>
        <w:t xml:space="preserve">he identified CCL22 mutations. </w:t>
      </w:r>
      <w:r w:rsidR="0086656A">
        <w:rPr>
          <w:rFonts w:ascii="Times New Roman" w:hAnsi="Times New Roman" w:cs="Times New Roman"/>
        </w:rPr>
        <w:t xml:space="preserve">Of note, </w:t>
      </w:r>
      <w:r w:rsidR="00A42D98">
        <w:rPr>
          <w:rFonts w:ascii="Times New Roman" w:hAnsi="Times New Roman" w:cs="Times New Roman"/>
        </w:rPr>
        <w:t xml:space="preserve">mutations at chemokine positions cxb1.13 and cxb1.14 </w:t>
      </w:r>
      <w:r w:rsidR="00990A7C">
        <w:rPr>
          <w:rFonts w:ascii="Times New Roman" w:hAnsi="Times New Roman" w:cs="Times New Roman"/>
        </w:rPr>
        <w:t xml:space="preserve">to basic residues would be likely </w:t>
      </w:r>
      <w:r w:rsidR="00600483">
        <w:rPr>
          <w:rFonts w:ascii="Times New Roman" w:hAnsi="Times New Roman" w:cs="Times New Roman"/>
        </w:rPr>
        <w:t xml:space="preserve">to place these basic residues in close proximity to positively charged </w:t>
      </w:r>
    </w:p>
    <w:sectPr w:rsidR="000B1B3D" w:rsidRPr="001C2322" w:rsidSect="00074F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31B"/>
    <w:rsid w:val="00002752"/>
    <w:rsid w:val="00024AB9"/>
    <w:rsid w:val="00024F08"/>
    <w:rsid w:val="00025BAB"/>
    <w:rsid w:val="00034616"/>
    <w:rsid w:val="00055846"/>
    <w:rsid w:val="000653ED"/>
    <w:rsid w:val="00073790"/>
    <w:rsid w:val="00074F0A"/>
    <w:rsid w:val="00080FE9"/>
    <w:rsid w:val="00086FD1"/>
    <w:rsid w:val="000A03DD"/>
    <w:rsid w:val="000B1B3D"/>
    <w:rsid w:val="000C1392"/>
    <w:rsid w:val="000C7516"/>
    <w:rsid w:val="000F10D5"/>
    <w:rsid w:val="000F331B"/>
    <w:rsid w:val="00100558"/>
    <w:rsid w:val="00102210"/>
    <w:rsid w:val="00107B46"/>
    <w:rsid w:val="00124146"/>
    <w:rsid w:val="00130088"/>
    <w:rsid w:val="0015560D"/>
    <w:rsid w:val="00160903"/>
    <w:rsid w:val="00181E05"/>
    <w:rsid w:val="00195A97"/>
    <w:rsid w:val="00195AE4"/>
    <w:rsid w:val="001A0DA3"/>
    <w:rsid w:val="001A4C38"/>
    <w:rsid w:val="001C2322"/>
    <w:rsid w:val="001D7E8D"/>
    <w:rsid w:val="001E22D1"/>
    <w:rsid w:val="001E275C"/>
    <w:rsid w:val="001E3AD4"/>
    <w:rsid w:val="001E5FAB"/>
    <w:rsid w:val="001E6E66"/>
    <w:rsid w:val="001F130E"/>
    <w:rsid w:val="001F1B50"/>
    <w:rsid w:val="0020361D"/>
    <w:rsid w:val="0021062E"/>
    <w:rsid w:val="0021519B"/>
    <w:rsid w:val="00222AE2"/>
    <w:rsid w:val="00236436"/>
    <w:rsid w:val="00242795"/>
    <w:rsid w:val="002552DD"/>
    <w:rsid w:val="002578E0"/>
    <w:rsid w:val="00261A1B"/>
    <w:rsid w:val="002749F6"/>
    <w:rsid w:val="00282F4B"/>
    <w:rsid w:val="00287947"/>
    <w:rsid w:val="00290B59"/>
    <w:rsid w:val="002A7703"/>
    <w:rsid w:val="002B0B2F"/>
    <w:rsid w:val="002B2270"/>
    <w:rsid w:val="002B5A33"/>
    <w:rsid w:val="002D615D"/>
    <w:rsid w:val="002F0644"/>
    <w:rsid w:val="002F10EC"/>
    <w:rsid w:val="002F1E71"/>
    <w:rsid w:val="003026C2"/>
    <w:rsid w:val="00304346"/>
    <w:rsid w:val="00304427"/>
    <w:rsid w:val="00311E77"/>
    <w:rsid w:val="00312B26"/>
    <w:rsid w:val="0031321D"/>
    <w:rsid w:val="00315BCA"/>
    <w:rsid w:val="0032333B"/>
    <w:rsid w:val="003368CB"/>
    <w:rsid w:val="003464A8"/>
    <w:rsid w:val="003466D0"/>
    <w:rsid w:val="003631B2"/>
    <w:rsid w:val="00366278"/>
    <w:rsid w:val="0038585E"/>
    <w:rsid w:val="003936B2"/>
    <w:rsid w:val="003950C7"/>
    <w:rsid w:val="003A1CBA"/>
    <w:rsid w:val="003A2B38"/>
    <w:rsid w:val="003A450C"/>
    <w:rsid w:val="003A4BB5"/>
    <w:rsid w:val="003B067D"/>
    <w:rsid w:val="003B1095"/>
    <w:rsid w:val="003B36D3"/>
    <w:rsid w:val="003B447F"/>
    <w:rsid w:val="003C3005"/>
    <w:rsid w:val="003D3354"/>
    <w:rsid w:val="003F5970"/>
    <w:rsid w:val="003F6FB0"/>
    <w:rsid w:val="00400796"/>
    <w:rsid w:val="0040348E"/>
    <w:rsid w:val="004177AD"/>
    <w:rsid w:val="004303F0"/>
    <w:rsid w:val="00435017"/>
    <w:rsid w:val="00435EA4"/>
    <w:rsid w:val="004676E0"/>
    <w:rsid w:val="004710C2"/>
    <w:rsid w:val="00480234"/>
    <w:rsid w:val="004806B7"/>
    <w:rsid w:val="00481400"/>
    <w:rsid w:val="00490B49"/>
    <w:rsid w:val="004A41D8"/>
    <w:rsid w:val="004B103C"/>
    <w:rsid w:val="004B69C9"/>
    <w:rsid w:val="004D7422"/>
    <w:rsid w:val="004E079E"/>
    <w:rsid w:val="004E09B7"/>
    <w:rsid w:val="004E5539"/>
    <w:rsid w:val="004F6BE6"/>
    <w:rsid w:val="004F79B3"/>
    <w:rsid w:val="00503A3E"/>
    <w:rsid w:val="00507E43"/>
    <w:rsid w:val="00512907"/>
    <w:rsid w:val="005147BE"/>
    <w:rsid w:val="00515B69"/>
    <w:rsid w:val="00521880"/>
    <w:rsid w:val="00522E9F"/>
    <w:rsid w:val="00533C4D"/>
    <w:rsid w:val="00534805"/>
    <w:rsid w:val="005372CE"/>
    <w:rsid w:val="00537950"/>
    <w:rsid w:val="00555276"/>
    <w:rsid w:val="00560E94"/>
    <w:rsid w:val="00573857"/>
    <w:rsid w:val="00575AC7"/>
    <w:rsid w:val="00586C33"/>
    <w:rsid w:val="00587572"/>
    <w:rsid w:val="00594C8D"/>
    <w:rsid w:val="005952A1"/>
    <w:rsid w:val="005B4320"/>
    <w:rsid w:val="005D20ED"/>
    <w:rsid w:val="005E23DD"/>
    <w:rsid w:val="005F2EAE"/>
    <w:rsid w:val="00600483"/>
    <w:rsid w:val="00604E7E"/>
    <w:rsid w:val="00620B47"/>
    <w:rsid w:val="00633CA5"/>
    <w:rsid w:val="00635264"/>
    <w:rsid w:val="006374C6"/>
    <w:rsid w:val="00650C69"/>
    <w:rsid w:val="0065113C"/>
    <w:rsid w:val="00653838"/>
    <w:rsid w:val="0066314C"/>
    <w:rsid w:val="00665953"/>
    <w:rsid w:val="00666E13"/>
    <w:rsid w:val="0068023B"/>
    <w:rsid w:val="00685B8A"/>
    <w:rsid w:val="006969A9"/>
    <w:rsid w:val="006B1FC3"/>
    <w:rsid w:val="006B27E7"/>
    <w:rsid w:val="006C532C"/>
    <w:rsid w:val="006C76A8"/>
    <w:rsid w:val="006D7E3D"/>
    <w:rsid w:val="006E4230"/>
    <w:rsid w:val="006F71B2"/>
    <w:rsid w:val="006F7D09"/>
    <w:rsid w:val="007049FF"/>
    <w:rsid w:val="007124B4"/>
    <w:rsid w:val="00717B3D"/>
    <w:rsid w:val="007235D3"/>
    <w:rsid w:val="00725851"/>
    <w:rsid w:val="00731D69"/>
    <w:rsid w:val="0073568C"/>
    <w:rsid w:val="0074276F"/>
    <w:rsid w:val="0075620C"/>
    <w:rsid w:val="007609B9"/>
    <w:rsid w:val="00770B6F"/>
    <w:rsid w:val="00774764"/>
    <w:rsid w:val="00775FB5"/>
    <w:rsid w:val="00783758"/>
    <w:rsid w:val="00786189"/>
    <w:rsid w:val="007917BB"/>
    <w:rsid w:val="00792864"/>
    <w:rsid w:val="007A1ADD"/>
    <w:rsid w:val="007A6AE3"/>
    <w:rsid w:val="007C5D2E"/>
    <w:rsid w:val="007D4972"/>
    <w:rsid w:val="007F7BB6"/>
    <w:rsid w:val="00803078"/>
    <w:rsid w:val="008079D9"/>
    <w:rsid w:val="00814E4A"/>
    <w:rsid w:val="008239F3"/>
    <w:rsid w:val="0082567B"/>
    <w:rsid w:val="00825C97"/>
    <w:rsid w:val="00831416"/>
    <w:rsid w:val="008370B5"/>
    <w:rsid w:val="008503DE"/>
    <w:rsid w:val="00854EDC"/>
    <w:rsid w:val="008660C3"/>
    <w:rsid w:val="0086656A"/>
    <w:rsid w:val="00875377"/>
    <w:rsid w:val="00885915"/>
    <w:rsid w:val="008B018E"/>
    <w:rsid w:val="008B240E"/>
    <w:rsid w:val="008C3354"/>
    <w:rsid w:val="008C7585"/>
    <w:rsid w:val="008F5552"/>
    <w:rsid w:val="00905BF5"/>
    <w:rsid w:val="00905CE0"/>
    <w:rsid w:val="00907960"/>
    <w:rsid w:val="00910135"/>
    <w:rsid w:val="00916289"/>
    <w:rsid w:val="00920FE4"/>
    <w:rsid w:val="00930B58"/>
    <w:rsid w:val="0093412D"/>
    <w:rsid w:val="009410A8"/>
    <w:rsid w:val="00955621"/>
    <w:rsid w:val="00971B55"/>
    <w:rsid w:val="00990A7C"/>
    <w:rsid w:val="009B71B5"/>
    <w:rsid w:val="009C1410"/>
    <w:rsid w:val="009E0C6B"/>
    <w:rsid w:val="00A00FD3"/>
    <w:rsid w:val="00A16B18"/>
    <w:rsid w:val="00A264A8"/>
    <w:rsid w:val="00A26F19"/>
    <w:rsid w:val="00A27EEC"/>
    <w:rsid w:val="00A34116"/>
    <w:rsid w:val="00A359F8"/>
    <w:rsid w:val="00A40889"/>
    <w:rsid w:val="00A41B06"/>
    <w:rsid w:val="00A42D98"/>
    <w:rsid w:val="00A5786D"/>
    <w:rsid w:val="00A62BE8"/>
    <w:rsid w:val="00A62F31"/>
    <w:rsid w:val="00A938B0"/>
    <w:rsid w:val="00A9474C"/>
    <w:rsid w:val="00AA01C1"/>
    <w:rsid w:val="00AA101A"/>
    <w:rsid w:val="00AA1218"/>
    <w:rsid w:val="00AB4B07"/>
    <w:rsid w:val="00AB6023"/>
    <w:rsid w:val="00AB6A32"/>
    <w:rsid w:val="00AC0AC6"/>
    <w:rsid w:val="00AE3FB1"/>
    <w:rsid w:val="00AF532E"/>
    <w:rsid w:val="00B03061"/>
    <w:rsid w:val="00B1076F"/>
    <w:rsid w:val="00B53CB5"/>
    <w:rsid w:val="00B577C7"/>
    <w:rsid w:val="00B644D4"/>
    <w:rsid w:val="00B76771"/>
    <w:rsid w:val="00B868C9"/>
    <w:rsid w:val="00B9446C"/>
    <w:rsid w:val="00B968D8"/>
    <w:rsid w:val="00BA0272"/>
    <w:rsid w:val="00BB4A0E"/>
    <w:rsid w:val="00BD4630"/>
    <w:rsid w:val="00BD782A"/>
    <w:rsid w:val="00BF3025"/>
    <w:rsid w:val="00BF31A2"/>
    <w:rsid w:val="00BF4FBE"/>
    <w:rsid w:val="00C06936"/>
    <w:rsid w:val="00C3484C"/>
    <w:rsid w:val="00C41F64"/>
    <w:rsid w:val="00C52079"/>
    <w:rsid w:val="00C71113"/>
    <w:rsid w:val="00C732B9"/>
    <w:rsid w:val="00C75C3F"/>
    <w:rsid w:val="00C8141F"/>
    <w:rsid w:val="00C8719A"/>
    <w:rsid w:val="00CA2BDF"/>
    <w:rsid w:val="00CB00E8"/>
    <w:rsid w:val="00CB6DCE"/>
    <w:rsid w:val="00CD4858"/>
    <w:rsid w:val="00CE48F7"/>
    <w:rsid w:val="00CE76FC"/>
    <w:rsid w:val="00CF516D"/>
    <w:rsid w:val="00D24D49"/>
    <w:rsid w:val="00D253F2"/>
    <w:rsid w:val="00D262F7"/>
    <w:rsid w:val="00D34D39"/>
    <w:rsid w:val="00D3543F"/>
    <w:rsid w:val="00D60A1D"/>
    <w:rsid w:val="00D61785"/>
    <w:rsid w:val="00D63E92"/>
    <w:rsid w:val="00D71CE9"/>
    <w:rsid w:val="00D77970"/>
    <w:rsid w:val="00D8403E"/>
    <w:rsid w:val="00D87399"/>
    <w:rsid w:val="00D91AA1"/>
    <w:rsid w:val="00DD4653"/>
    <w:rsid w:val="00DD5819"/>
    <w:rsid w:val="00DD7161"/>
    <w:rsid w:val="00DF49F2"/>
    <w:rsid w:val="00E021CD"/>
    <w:rsid w:val="00E12544"/>
    <w:rsid w:val="00E2153C"/>
    <w:rsid w:val="00E26827"/>
    <w:rsid w:val="00E46697"/>
    <w:rsid w:val="00E46AEC"/>
    <w:rsid w:val="00E52857"/>
    <w:rsid w:val="00E53213"/>
    <w:rsid w:val="00E55C36"/>
    <w:rsid w:val="00E61B20"/>
    <w:rsid w:val="00E62311"/>
    <w:rsid w:val="00E723DB"/>
    <w:rsid w:val="00E745F8"/>
    <w:rsid w:val="00E927ED"/>
    <w:rsid w:val="00EA46C4"/>
    <w:rsid w:val="00EA4D47"/>
    <w:rsid w:val="00EA6349"/>
    <w:rsid w:val="00EB1814"/>
    <w:rsid w:val="00EC1111"/>
    <w:rsid w:val="00EC498B"/>
    <w:rsid w:val="00ED263F"/>
    <w:rsid w:val="00ED64A6"/>
    <w:rsid w:val="00EE0AA1"/>
    <w:rsid w:val="00F03A48"/>
    <w:rsid w:val="00F17410"/>
    <w:rsid w:val="00F22735"/>
    <w:rsid w:val="00F252FE"/>
    <w:rsid w:val="00F45AE1"/>
    <w:rsid w:val="00F658F0"/>
    <w:rsid w:val="00F73B24"/>
    <w:rsid w:val="00F752EB"/>
    <w:rsid w:val="00F81CE4"/>
    <w:rsid w:val="00F8311F"/>
    <w:rsid w:val="00F847F6"/>
    <w:rsid w:val="00F851A1"/>
    <w:rsid w:val="00F95688"/>
    <w:rsid w:val="00FA7D98"/>
    <w:rsid w:val="00FB133F"/>
    <w:rsid w:val="00FB189E"/>
    <w:rsid w:val="00FC0254"/>
    <w:rsid w:val="00FC3367"/>
    <w:rsid w:val="00FC6EC4"/>
    <w:rsid w:val="00FD1CE4"/>
    <w:rsid w:val="00FD6125"/>
    <w:rsid w:val="00FE58A8"/>
    <w:rsid w:val="00FF056B"/>
    <w:rsid w:val="00FF6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1553BD"/>
  <w15:chartTrackingRefBased/>
  <w15:docId w15:val="{10B1F0F9-9438-A248-92EC-AB86F0D78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124B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124B4"/>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3</Pages>
  <Words>663</Words>
  <Characters>3783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Kleist, Andrew B</dc:creator>
  <cp:keywords/>
  <dc:description/>
  <cp:lastModifiedBy>Kleist, Andrew B</cp:lastModifiedBy>
  <cp:revision>80</cp:revision>
  <dcterms:created xsi:type="dcterms:W3CDTF">2020-11-28T20:28:00Z</dcterms:created>
  <dcterms:modified xsi:type="dcterms:W3CDTF">2020-11-30T05:40:00Z</dcterms:modified>
</cp:coreProperties>
</file>