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1.19</w:t>
      </w:r>
      <w:r>
        <w:t xml:space="preserve"> · 17 Oct 2026</w:t>
      </w:r>
      <w:r>
        <w:t xml:space="preserve"> · reflects the dev branch at commit 63c0bb3</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v1.20 (in progress) — 21 Oct 2026</w:t>
      </w:r>
    </w:p>
    <w:p>
      <w:pPr/>
      <w:r>
        <w:rPr>
          <w:i/>
        </w:rPr>
        <w:t xml:space="preserve">Working entry for the next build version (v1.20 = v1.19 + Rachelle's v1.15 request version of 19 Oct 2026). The version number is set when Andrew publishes it.</w:t>
      </w:r>
    </w:p>
    <w:p>
      <w:pPr>
        <w:pStyle w:val="ListBullet"/>
      </w:pPr>
      <w:r>
        <w:rPr>
          <w:b/>
        </w:rPr>
        <w:t xml:space="preserve">Built from v1.15 (on dev): </w:t>
      </w:r>
      <w:r>
        <w:t xml:space="preserve">Plus · Console: badge for team-added HIGH events within 6h (“CPI in 4h — expect volatility”) — §1.6. </w:t>
      </w:r>
      <w:r>
        <w:t xml:space="preserve">Plus · Calendar popups: run on team-added HIGH events only. </w:t>
      </w:r>
      <w:r>
        <w:t xml:space="preserve">Plus · On-Chain: HYPE replaces AVAX; continuous funding bands from ±0.05% (Mild Short Bias removed); Netflow opens on 7D; flat OI → Trend Without Leverage / Decline Without Panic. </w:t>
      </w:r>
      <w:r>
        <w:t xml:space="preserve">Plus · Watchlist: Short Heavy below −0.05%; the regime tag reads real OI so Coiling can fire. </w:t>
      </w:r>
      <w:r>
        <w:t xml:space="preserve">Pro · Daily Digest: old disclaimer removed; Smart Money, Also Worth Watching and Fear &amp; Greed lines added. </w:t>
      </w:r>
      <w:r>
        <w:t xml:space="preserve">Pro · Following &amp; Alerts: HYPE added, POL and RENDER replace MATIC and RNDR, TON dropped.</w:t>
      </w:r>
    </w:p>
    <w:p>
      <w:pPr>
        <w:pStyle w:val="ListBullet"/>
      </w:pPr>
      <w:r>
        <w:rPr>
          <w:b/>
        </w:rPr>
        <w:t xml:space="preserve">Bugs fixed: </w:t>
      </w:r>
      <w:r>
        <w:t xml:space="preserve">On-Chain and Watchlist read the funding feed ×100 (normal +0.007% funding showed as Overheated); the Console Flow Radar preview coloured Inflow (bearish) green and Outflow red; ETF “Today” showed $0 before the day's flow is reported (now “Not reported yet”).</w:t>
      </w:r>
    </w:p>
    <w:p>
      <w:pPr>
        <w:pStyle w:val="ListBullet"/>
      </w:pPr>
      <w:r>
        <w:rPr>
          <w:b/>
        </w:rPr>
        <w:t xml:space="preserve">Ready on branches, waiting for Andrew (NOT live, sections above still describe v1.19): </w:t>
      </w:r>
      <w:r>
        <w:t xml:space="preserve">Flow Radar engine (Plus §3 + Pro §18, incl. Dry Powder, 5-exchange liquidations, scaled verdict band, Plus cross-signals, Pro illiquid filter) — feat/v115-flow-radar-engine; </w:t>
      </w:r>
      <w:r>
        <w:t xml:space="preserve">Spot Pulse engine (Plus §2.9 + Pro §5) — feat/v115-spot-pulse-engine; </w:t>
      </w:r>
      <w:r>
        <w:t xml:space="preserve">Watchlist Pro pin rules + 3-day Section C + live prices (Pro §19) — feat/v115-watchlist-pro; </w:t>
      </w:r>
      <w:r>
        <w:t xml:space="preserve">Calendar Listing / Token sale categories, airdrop TGE dates, HIGH + MED default (Plus §5, admin change) — feat/v115-calendar; </w:t>
      </w:r>
      <w:r>
        <w:t xml:space="preserve">background collector + shared 70/min CoinGlass budget (Platform) — feat/v115-collector.</w:t>
      </w:r>
    </w:p>
    <w:p>
      <w:pPr>
        <w:pStyle w:val="ListBullet"/>
      </w:pPr>
      <w:r>
        <w:rPr>
          <w:b/>
        </w:rPr>
        <w:t xml:space="preserve">Not built yet: </w:t>
      </w:r>
      <w:r>
        <w:t xml:space="preserve">AI layer (Gemini sentences), significance engine, Crypto Address Tracker additions, and everything Rachelle marked Backlog. Large Limit Order and the liquidation heatmap stay blocked on the current CoinGlass plan.</w:t>
      </w:r>
    </w:p>
    <w:p>
      <w:pPr>
        <w:pStyle w:val="ListBullet"/>
      </w:pPr>
      <w:r>
        <w:rPr>
          <w:b/>
        </w:rPr>
        <w:t xml:space="preserve">Verified on our CoinGlass key (20 Oct 2026): </w:t>
      </w:r>
      <w:r>
        <w:t xml:space="preserve">all 6 endpoints in Rachelle's “verify before building” list work on STARTUP; exchange/chain/tx/list transfer_type 1 = into an exchange, 2 = out; spot netflow-list returns the top 100 coins only; hyperliquid whale-alert returns ~50 positions, not ~200.</w:t>
      </w:r>
    </w:p>
    <w:p>
      <w:pPr>
        <w:pStyle w:val="ListBullet"/>
      </w:pPr>
      <w:r>
        <w:rPr>
          <w:i/>
        </w:rPr>
        <w:t xml:space="preserve">Not re-audited in this version: </w:t>
      </w:r>
      <w:r>
        <w:rPr>
          <w:i/>
        </w:rPr>
        <w:t xml:space="preserve">sections other than Plus §1, §2.1, §2.2, §2.7, §5 (popup rule), §6 and Pro §1–§2.</w:t>
      </w:r>
    </w:p>
    <w:p>
      <w:pPr>
        <w:pStyle w:val="Heading2"/>
      </w:pPr>
      <w:r>
        <w:t xml:space="preserve">v1.19 — 17 Oct 2026</w:t>
      </w:r>
    </w:p>
    <w:p>
      <w:pPr/>
      <w:r>
        <w:rPr>
          <w:i/>
        </w:rPr>
        <w:t xml:space="preserve">Console regime scoring now follows Rachelle's Plus §1.1 exactly (Andrew: fix the gaps one by one, 17 Oct 2026).</w:t>
      </w:r>
    </w:p>
    <w:p>
      <w:pPr>
        <w:pStyle w:val="ListBullet"/>
      </w:pPr>
      <w:r>
        <w:rPr>
          <w:b/>
        </w:rPr>
        <w:t xml:space="preserve">Console (Plus §1.1). </w:t>
      </w:r>
      <w:r>
        <w:t xml:space="preserve">Fear &amp; Greed is weighted at the extremes (Extreme Fear +1.5, Extreme Greed −1.5); ETF flow only counts beyond ±$100M over 7 days; funding scores −1 above +0.1% and +1 below −0.05% (0 in between); OI up + price flat is now 0 and OI up + price down is −1; confidence is the share of active signals that agree (neutral signals no longer drag it down); HYPE's confidence is capped at 0.7.</w:t>
      </w:r>
    </w:p>
    <w:p>
      <w:pPr>
        <w:pStyle w:val="ListBullet"/>
      </w:pPr>
      <w:r>
        <w:rPr>
          <w:b/>
        </w:rPr>
        <w:t xml:space="preserve">Bug fixed: funding scale. </w:t>
      </w:r>
      <w:r>
        <w:t xml:space="preserve">The OI-weighted funding feed is already a percentage (BTC 0.0066 = 0.0066%). The Console multiplied it by 100, so normal funding read as about 0.66% and scored overheated, pulling verdicts bearish. On-Chain Insights (§2.1) and Watchlist Plus still have this bug; it is the next fix.</w:t>
      </w:r>
    </w:p>
    <w:p>
      <w:pPr>
        <w:pStyle w:val="ListBullet"/>
      </w:pPr>
      <w:r>
        <w:rPr>
          <w:b/>
        </w:rPr>
        <w:t xml:space="preserve">Corrections: </w:t>
      </w:r>
      <w:r>
        <w:t xml:space="preserve">§1.3 said the chips' prices come from one batched call; they come from one /api/futures/pairs-markets call per coin (the batched endpoint is locked on our plan).</w:t>
      </w:r>
    </w:p>
    <w:p>
      <w:pPr>
        <w:pStyle w:val="ListBullet"/>
      </w:pPr>
      <w:r>
        <w:rPr>
          <w:b/>
        </w:rPr>
        <w:t xml:space="preserve">Not re-audited in this version: </w:t>
      </w:r>
      <w:r>
        <w:rPr>
          <w:i/>
        </w:rPr>
        <w:t xml:space="preserve">everything outside Console §1.1 and §1.3.</w:t>
      </w:r>
    </w:p>
    <w:p>
      <w:pPr>
        <w:pStyle w:val="Heading2"/>
      </w:pPr>
      <w:r>
        <w:t xml:space="preserve">v1.18 — 15 Oct 2026</w:t>
      </w:r>
    </w:p>
    <w:p>
      <w:pPr/>
      <w:r>
        <w:rPr>
          <w:i/>
        </w:rPr>
        <w:t xml:space="preserve">Invented legal text removed (to-do 5227a4b7, Andrew): legal content comes from Andrew's team only.</w:t>
      </w:r>
    </w:p>
    <w:p>
      <w:pPr>
        <w:pStyle w:val="ListBullet"/>
      </w:pPr>
      <w:r>
        <w:rPr>
          <w:b/>
        </w:rPr>
        <w:t xml:space="preserve">Reverted: Legal &amp; cookies (Basic §7). </w:t>
      </w:r>
      <w:r>
        <w:t xml:space="preserve">The v1.15/v1.17 Terms rewrite is gone. /terms and /world/terms show the team's original Terms again, read from Firestore app_config/terms_and_conditions (as on main). The invented Privacy Policy (/privacy, /world/privacy) is removed with every link to it — main never had one. Removed the made-up sign-up line (agree / 18+ / not financial advice), the Subscribe refund and “by paying you agree” lines, and the shell “not financial advice” paragraph. Section retitled “7. Terms &amp; cookies”.</w:t>
      </w:r>
    </w:p>
    <w:p>
      <w:pPr>
        <w:pStyle w:val="ListBullet"/>
      </w:pPr>
      <w:r>
        <w:rPr>
          <w:b/>
        </w:rPr>
        <w:t xml:space="preserve">Kept (Andrew, 15 Oct 2026): </w:t>
      </w:r>
      <w:r>
        <w:t xml:space="preserve">the cookie banner and Account deletion (Basic §8). The deletion panel no longer cites tax law, a privacy policy or refunds.</w:t>
      </w:r>
    </w:p>
    <w:p>
      <w:pPr>
        <w:pStyle w:val="ListBullet"/>
      </w:pPr>
      <w:r>
        <w:rPr>
          <w:b/>
        </w:rPr>
        <w:t xml:space="preserve">Corrections to v1.15–v1.17 text: </w:t>
      </w:r>
      <w:r>
        <w:t xml:space="preserve">the 18+ age, refund rule, referral rules and other “Andrew decisions” recorded there were invented wording, not Andrew's decisions.</w:t>
      </w:r>
    </w:p>
    <w:p>
      <w:pPr>
        <w:pStyle w:val="ListBullet"/>
      </w:pPr>
      <w:r>
        <w:rPr>
          <w:b/>
        </w:rPr>
        <w:t xml:space="preserve">Open for Andrew's team: </w:t>
      </w:r>
      <w:r>
        <w:t xml:space="preserve">Privacy Policy text, company details, refund and referral wording, disclaimer wording, age — proposed as to-dos. The rest of the 20-item reel checklist stays on the roadmap only.</w:t>
      </w:r>
    </w:p>
    <w:p>
      <w:pPr>
        <w:pStyle w:val="ListBullet"/>
      </w:pPr>
      <w:r>
        <w:rPr>
          <w:b/>
        </w:rPr>
        <w:t xml:space="preserve">Not re-audited in this version: </w:t>
      </w:r>
      <w:r>
        <w:rPr>
          <w:i/>
        </w:rPr>
        <w:t xml:space="preserve">everything outside Basic §7–§8.</w:t>
      </w:r>
    </w:p>
    <w:p>
      <w:pPr>
        <w:pStyle w:val="Heading2"/>
      </w:pPr>
      <w:r>
        <w:t xml:space="preserve">v1.17 — 14 Oct 2026</w:t>
      </w:r>
    </w:p>
    <w:p>
      <w:pPr/>
      <w:r>
        <w:rPr>
          <w:i/>
        </w:rPr>
        <w:t xml:space="preserve">Terms of Service rewritten after Andrew's legal decisions (to-do 35775685). Audit: docs/legal/2026-10-14-compliance-audit.md.</w:t>
      </w:r>
    </w:p>
    <w:p>
      <w:pPr>
        <w:pStyle w:val="ListBullet"/>
      </w:pPr>
      <w:r>
        <w:rPr>
          <w:b/>
        </w:rPr>
        <w:t xml:space="preserve">Changed: Legal, privacy &amp; cookies (Basic §7). </w:t>
      </w:r>
      <w:r>
        <w:t xml:space="preserve">The Terms of Service at /terms and /world/terms are rewritten and now written in code, like the Privacy Policy (the Firestore text is no longer read). New: 18+ (was 17), not financial advice, AI answers can be wrong, Pro prices and auto-renewal, refunds (none once a paid period has started; cancel any time and keep Pro to the period end), sanctions, referral rules, acceptable use, copyright complaints, termination, liability cap, governing law.</w:t>
      </w:r>
    </w:p>
    <w:p>
      <w:pPr>
        <w:pStyle w:val="ListBullet"/>
      </w:pPr>
      <w:r>
        <w:rPr>
          <w:b/>
        </w:rPr>
        <w:t xml:space="preserve">Subscribe (Pro §21). </w:t>
      </w:r>
      <w:r>
        <w:t xml:space="preserve">The payment note now says payments are non-refundable once a period has started, with a link to Terms → Refunds.</w:t>
      </w:r>
    </w:p>
    <w:p>
      <w:pPr>
        <w:pStyle w:val="ListBullet"/>
      </w:pPr>
      <w:r>
        <w:rPr>
          <w:b/>
        </w:rPr>
        <w:t xml:space="preserve">Still open: </w:t>
      </w:r>
      <w:r>
        <w:t xml:space="preserve">company legal name, country and contact email are placeholders on both Terms and Privacy (one shared setting, src/components/legal/entity.ts); a lawyer review before main.</w:t>
      </w:r>
    </w:p>
    <w:p>
      <w:pPr>
        <w:pStyle w:val="ListBullet"/>
      </w:pPr>
      <w:r>
        <w:rPr>
          <w:b/>
        </w:rPr>
        <w:t xml:space="preserve">Not re-audited in this version: </w:t>
      </w:r>
      <w:r>
        <w:rPr>
          <w:i/>
        </w:rPr>
        <w:t xml:space="preserve">every section except Basic §7 and the Subscribe note in Pro §21.</w:t>
      </w:r>
    </w:p>
    <w:p>
      <w:pPr>
        <w:pStyle w:val="Heading2"/>
      </w:pPr>
      <w:r>
        <w:t xml:space="preserve">v1.16 — 14 Oct 2026</w:t>
      </w:r>
    </w:p>
    <w:p>
      <w:pPr/>
      <w:r>
        <w:rPr>
          <w:i/>
        </w:rPr>
        <w:t xml:space="preserve">Self-serve account deletion (to-do 629973ef) — needed for GDPR/CCPA and the app stores. QA: docs/qa/2026-10-14-account-deletion.md. Plan: docs/plans/2026-10-14-account-deletion.md.</w:t>
      </w:r>
    </w:p>
    <w:p>
      <w:pPr>
        <w:pStyle w:val="ListBullet"/>
      </w:pPr>
      <w:r>
        <w:rPr>
          <w:b/>
        </w:rPr>
        <w:t xml:space="preserve">Shipped: Account deletion (Basic §8) — new section. </w:t>
      </w:r>
      <w:r>
        <w:t xml:space="preserve">Profile → Profile → “Delete my account”: type DELETE and sign in again (password, or the Google popup), then the account is deleted straight away. Deletes the profile, course progress, Kuma chats, watchlists, wallet tracker, Pro tool settings, referral code and the sign-in. Payment, order, subscription and referral-ledger records are kept (uid only) for tax. A live card subscription is cancelled at once with no refund; crypto Pro time and any referral balance are lost (both warned). Staff accounts are refused until their role is removed. New endpoint DELETE /api/v1/me for the Flutter app.</w:t>
      </w:r>
    </w:p>
    <w:p>
      <w:pPr>
        <w:pStyle w:val="ListBullet"/>
      </w:pPr>
      <w:r>
        <w:rPr>
          <w:b/>
        </w:rPr>
        <w:t xml:space="preserve">Also: </w:t>
      </w:r>
      <w:r>
        <w:t xml:space="preserve">payment webhooks, referral reversals and late Kuma replies no longer recreate a deleted user’s record. Privacy Policy now points to the self-serve option (deleted straight away from Profile; within 30 days by email). Legal §7 known gap on account deletion closed.</w:t>
      </w:r>
    </w:p>
    <w:p>
      <w:pPr>
        <w:pStyle w:val="ListBullet"/>
      </w:pPr>
      <w:r>
        <w:rPr>
          <w:b/>
        </w:rPr>
        <w:t xml:space="preserve">Not re-audited in this version: </w:t>
      </w:r>
      <w:r>
        <w:rPr>
          <w:i/>
        </w:rPr>
        <w:t xml:space="preserve">every section except Basic §7 and §8.</w:t>
      </w:r>
    </w:p>
    <w:p>
      <w:pPr>
        <w:pStyle w:val="Heading2"/>
      </w:pPr>
      <w:r>
        <w:t xml:space="preserve">v1.15 — 14 Oct 2026</w:t>
      </w:r>
    </w:p>
    <w:p>
      <w:pPr/>
      <w:r>
        <w:rPr>
          <w:i/>
        </w:rPr>
        <w:t xml:space="preserve">Legal / compliance pass (to-do d5870b2d). QA: docs/qa/2026-10-14-legal-compliance.md. Audit: docs/legal/2026-10-14-compliance-audit.md.</w:t>
      </w:r>
    </w:p>
    <w:p>
      <w:pPr>
        <w:pStyle w:val="ListBullet"/>
      </w:pPr>
      <w:r>
        <w:rPr>
          <w:b/>
        </w:rPr>
        <w:t xml:space="preserve">Shipped: Legal, privacy &amp; cookies (Basic §7) — new section. </w:t>
      </w:r>
      <w:r>
        <w:t xml:space="preserve">Public Privacy Policy at /privacy (and /world/privacy); cookie banner on every page — Google Analytics no longer loads until the visitor clicks Accept; “By signing up you agree…” line (18+, not financial advice) on the sign-up form; “By paying you agree…” on the Subscribe page; Terms / Privacy / Cookie settings links on the landing page, footer and sidebar brand menu; a not-financial-advice footer at the bottom of every /world page.</w:t>
      </w:r>
    </w:p>
    <w:p>
      <w:pPr>
        <w:pStyle w:val="ListBullet"/>
      </w:pPr>
      <w:r>
        <w:rPr>
          <w:b/>
        </w:rPr>
        <w:t xml:space="preserve">Open decisions: </w:t>
      </w:r>
      <w:r>
        <w:t xml:space="preserve">company legal name, country and privacy email are still placeholders in the Privacy Policy; age limit (18+), refund policy and referral rules need Andrew’s call; account deletion is a follow-up.</w:t>
      </w:r>
    </w:p>
    <w:p>
      <w:pPr>
        <w:pStyle w:val="ListBullet"/>
      </w:pPr>
      <w:r>
        <w:rPr>
          <w:b/>
        </w:rPr>
        <w:t xml:space="preserve">Not re-audited in this version: </w:t>
      </w:r>
      <w:r>
        <w:rPr>
          <w:i/>
        </w:rPr>
        <w:t xml:space="preserve">every section except Basic §7 and the Subscribe page note in Pro §21.</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2"/>
      </w:pPr>
      <w:r>
        <w:t xml:space="preserve">7. Terms &amp; cookies</w:t>
      </w:r>
    </w:p>
    <w:p>
      <w:pPr/>
      <w:r>
        <w:t xml:space="preserve">The Terms page and the cookie banner every visitor sees.</w:t>
      </w:r>
    </w:p>
    <w:p>
      <w:pPr>
        <w:pStyle w:val="Heading3"/>
      </w:pPr>
      <w:r>
        <w:t xml:space="preserve">What it is</w:t>
      </w:r>
    </w:p>
    <w:p>
      <w:pPr/>
      <w:r>
        <w:t xml:space="preserve">The team's Terms &amp; Conditions (supplied by Andrew's team, shown as written) and a cookie-consent banner that controls Google Analytics. There is no Privacy Policy page yet.</w:t>
      </w:r>
    </w:p>
    <w:p>
      <w:pPr>
        <w:pStyle w:val="Heading3"/>
      </w:pPr>
      <w:r>
        <w:t xml:space="preserve">Where it is</w:t>
      </w:r>
    </w:p>
    <w:p>
      <w:pPr/>
      <w:r>
        <w:t xml:space="preserve">Tier: everyone, signed in or not.</w:t>
      </w:r>
    </w:p>
    <w:p>
      <w:pPr>
        <w:pStyle w:val="ListBullet"/>
      </w:pPr>
      <w:r>
        <w:t xml:space="preserve">Terms: /terms (public, with the site footer) and /world/terms (inside the shell).</w:t>
      </w:r>
    </w:p>
    <w:p>
      <w:pPr>
        <w:pStyle w:val="ListBullet"/>
      </w:pPr>
      <w:r>
        <w:t xml:space="preserve">Cookie banner: bottom of the screen on any page until the visitor answers. Reopened from “Cookie settings”.</w:t>
      </w:r>
    </w:p>
    <w:p>
      <w:pPr>
        <w:pStyle w:val="ListBullet"/>
      </w:pPr>
      <w:r>
        <w:t xml:space="preserve">Links: landing page (Terms · Cookie settings under the copyright), site footer (Company → Terms, Cookie settings), sidebar brand menu (Company → Terms of Service), and a small links-only footer at the bottom of every /world page (Terms · Cookie settings).</w:t>
      </w:r>
    </w:p>
    <w:p>
      <w:pPr>
        <w:pStyle w:val="Heading3"/>
      </w:pPr>
      <w:r>
        <w:t xml:space="preserve">How the user uses it</w:t>
      </w:r>
    </w:p>
    <w:p>
      <w:pPr>
        <w:pStyle w:val="ListBullet"/>
      </w:pPr>
      <w:r>
        <w:t xml:space="preserve">First visit: the banner explains that sign-in cookies are needed and asks about analytics cookies. “Accept analytics” starts Google Analytics; “Reject analytics” keeps it off and deletes the _ga cookies. The choice is saved in the browser.</w:t>
      </w:r>
    </w:p>
    <w:p>
      <w:pPr>
        <w:pStyle w:val="ListBullet"/>
      </w:pPr>
      <w:r>
        <w:t xml:space="preserve">Terms: open the link to read the team's Terms &amp; Conditions.</w:t>
      </w:r>
    </w:p>
    <w:p>
      <w:pPr>
        <w:pStyle w:val="Heading3"/>
      </w:pPr>
      <w:r>
        <w:t xml:space="preserve">How we build it</w:t>
      </w:r>
    </w:p>
    <w:p>
      <w:pPr>
        <w:pStyle w:val="Heading4"/>
      </w:pPr>
      <w:r>
        <w:t xml:space="preserve">Via API</w:t>
      </w:r>
    </w:p>
    <w:p>
      <w:pPr/>
      <w:r>
        <w:t xml:space="preserve">None. src/components/TermsContent.tsx reads Firestore app_config/terms_and_conditions (title + markdown content) in the browser; the banner is src/components/legal/CookieConsent.tsx with src/lib/consent.ts.</w:t>
      </w:r>
    </w:p>
    <w:p>
      <w:pPr>
        <w:pStyle w:val="Heading4"/>
      </w:pPr>
      <w:r>
        <w:t xml:space="preserve">Via Admin Dashboard (manual)</w:t>
      </w:r>
    </w:p>
    <w:p>
      <w:pPr/>
      <w:r>
        <w:t xml:space="preserve">The Terms text lives in app_config/terms_and_conditions (admin-writable). Only Andrew's team supplies its wording.</w:t>
      </w:r>
    </w:p>
    <w:p>
      <w:pPr>
        <w:pStyle w:val="Heading4"/>
      </w:pPr>
      <w:r>
        <w:t xml:space="preserve">Known gaps</w:t>
      </w:r>
    </w:p>
    <w:p>
      <w:pPr>
        <w:pStyle w:val="ListBullet"/>
      </w:pPr>
      <w:r>
        <w:t xml:space="preserve">No Privacy Policy page: the text has to come from Andrew's team (to-do proposed).</w:t>
      </w:r>
    </w:p>
    <w:p>
      <w:pPr>
        <w:pStyle w:val="ListBullet"/>
      </w:pPr>
      <w:r>
        <w:t xml:space="preserve">No company details, refund wording, referral rules wording or disclaimer wording on the site; all to be supplied by Andrew's team (to-dos proposed).</w:t>
      </w:r>
    </w:p>
    <w:p>
      <w:pPr>
        <w:pStyle w:val="ListBullet"/>
      </w:pPr>
      <w:r>
        <w:t xml:space="preserve">The rest of the 20-item legal checklist (data export, breach plan, licences, DMCA, sanctions) is on the roadmap only — docs/legal/2026-10-14-compliance-audit.md.</w:t>
      </w:r>
    </w:p>
    <w:p>
      <w:pPr>
        <w:pStyle w:val="Heading2"/>
      </w:pPr>
      <w:r>
        <w:t xml:space="preserve">8. Account deletion</w:t>
      </w:r>
    </w:p>
    <w:p>
      <w:pPr/>
      <w:r>
        <w:t xml:space="preserve">Lets any signed-in user permanently delete their Kumami account themselves, as GDPR/CCPA and the Apple and Google app stores require.</w:t>
      </w:r>
    </w:p>
    <w:p>
      <w:pPr>
        <w:pStyle w:val="Heading3"/>
      </w:pPr>
      <w:r>
        <w:t xml:space="preserve">What it is</w:t>
      </w:r>
    </w:p>
    <w:p>
      <w:pPr/>
      <w:r>
        <w:t xml:space="preserve">A “Delete my account” panel at the bottom of Profile. After a confirmation step it deletes the account and the user’s personal data at once, keeps the payment records the law requires, and signs the user out.</w:t>
      </w:r>
    </w:p>
    <w:p>
      <w:pPr>
        <w:pStyle w:val="Heading3"/>
      </w:pPr>
      <w:r>
        <w:t xml:space="preserve">Where it is</w:t>
      </w:r>
    </w:p>
    <w:p>
      <w:pPr/>
      <w:r>
        <w:t xml:space="preserve">Tier: every signed-in user (Basic, Plus, Pro).</w:t>
      </w:r>
    </w:p>
    <w:p>
      <w:pPr>
        <w:pStyle w:val="ListBullet"/>
      </w:pPr>
      <w:r>
        <w:t xml:space="preserve">/world/profile → Profile tab → “Delete my account” (red panel under Account Information).</w:t>
      </w:r>
    </w:p>
    <w:p>
      <w:pPr>
        <w:pStyle w:val="ListBullet"/>
      </w:pPr>
      <w:r>
        <w:t xml:space="preserve">After deleting, the user lands on the landing page with “Your Kumami account has been deleted.”</w:t>
      </w:r>
    </w:p>
    <w:p>
      <w:pPr>
        <w:pStyle w:val="Heading3"/>
      </w:pPr>
      <w:r>
        <w:t xml:space="preserve">How the user uses it</w:t>
      </w:r>
    </w:p>
    <w:p>
      <w:pPr>
        <w:pStyle w:val="ListBullet"/>
      </w:pPr>
      <w:r>
        <w:t xml:space="preserve">Click “Delete my account”. The panel lists what is deleted and says payment and invoice records (without name or email) are kept.</w:t>
      </w:r>
    </w:p>
    <w:p>
      <w:pPr>
        <w:pStyle w:val="ListBullet"/>
      </w:pPr>
      <w:r>
        <w:t xml:space="preserve">Warnings appear when they apply: “Your card subscription is cancelled now and your Pro access ends.”, “Your remaining Pro time is lost.”, and a lost referral balance.</w:t>
      </w:r>
    </w:p>
    <w:p>
      <w:pPr>
        <w:pStyle w:val="ListBullet"/>
      </w:pPr>
      <w:r>
        <w:t xml:space="preserve">Type DELETE (exactly) and enter the password. Google accounts confirm with the Google sign-in popup instead. The “Permanently delete my account” button stays disabled until both are done. Cancel closes the panel.</w:t>
      </w:r>
    </w:p>
    <w:p>
      <w:pPr>
        <w:pStyle w:val="ListBullet"/>
      </w:pPr>
      <w:r>
        <w:t xml:space="preserve">A wrong password or a closed popup shows an error and deletes nothing.</w:t>
      </w:r>
    </w:p>
    <w:p>
      <w:pPr>
        <w:pStyle w:val="ListBullet"/>
      </w:pPr>
      <w:r>
        <w:t xml:space="preserve">Staff accounts (any role other than user) see “This is a staff account. Ask a superadmin to remove your admin role first…” and no button.</w:t>
      </w:r>
    </w:p>
    <w:p>
      <w:pPr>
        <w:pStyle w:val="Heading3"/>
      </w:pPr>
      <w:r>
        <w:t xml:space="preserve">How we build it</w:t>
      </w:r>
    </w:p>
    <w:p>
      <w:pPr>
        <w:pStyle w:val="Heading4"/>
      </w:pPr>
      <w:r>
        <w:t xml:space="preserve">Via API</w:t>
      </w:r>
    </w:p>
    <w:p>
      <w:pPr/>
      <w:r>
        <w:t xml:space="preserve">DELETE /api/v1/me (website and Flutter app). It needs a Firebase ID token from a sign-in in the last 5 minutes (auth_time); otherwise 401 reauth_required. Staff get 403 staff_account. Order: cancel a live Stripe subscription (immediately, no refund) → revoke sessions → delete Firestore data → delete the Auth user. If Stripe can’t be cancelled nothing is deleted, so the user can retry.</w:t>
      </w:r>
    </w:p>
    <w:p>
      <w:pPr>
        <w:pStyle w:val="ListBullet"/>
      </w:pPr>
      <w:r>
        <w:t xml:space="preserve">Deleted: users/{uid} with all subcollections (education_progress, pro/state, watchlist, chatrooms + messages), user_prefs/{uid}, watchlists/{uid}, the user’s alerts and referralCodes, and the Firebase Auth user.</w:t>
      </w:r>
    </w:p>
    <w:p>
      <w:pPr>
        <w:pStyle w:val="ListBullet"/>
      </w:pPr>
      <w:r>
        <w:t xml:space="preserve">Kept (uid only, no name or email): payments, checkout_orders, subscriptions, webhook_events, referral_rewards, referral_ledger, admin_audit.</w:t>
      </w:r>
    </w:p>
    <w:p>
      <w:pPr>
        <w:pStyle w:val="ListBullet"/>
      </w:pPr>
      <w:r>
        <w:t xml:space="preserve">Webhooks and the Kuma callback never recreate a deleted user’s doc: a payment that arrives later is still recorded, but no user fields are written.</w:t>
      </w:r>
    </w:p>
    <w:p>
      <w:pPr>
        <w:pStyle w:val="Heading4"/>
      </w:pPr>
      <w:r>
        <w:t xml:space="preserve">Via Admin Dashboard (manual)</w:t>
      </w:r>
    </w:p>
    <w:p>
      <w:pPr/>
      <w:r>
        <w:t xml:space="preserve">None. Admin pages are unchanged.</w:t>
      </w:r>
    </w:p>
    <w:p>
      <w:pPr>
        <w:pStyle w:val="Heading4"/>
      </w:pPr>
      <w:r>
        <w:t xml:space="preserve">Known gaps</w:t>
      </w:r>
    </w:p>
    <w:p>
      <w:pPr>
        <w:pStyle w:val="ListBullet"/>
      </w:pPr>
      <w:r>
        <w:t xml:space="preserve">No self-serve data export yet (email request).</w:t>
      </w:r>
    </w:p>
    <w:p>
      <w:pPr>
        <w:pStyle w:val="ListBullet"/>
      </w:pPr>
      <w:r>
        <w:t xml:space="preserve">No grace period or undo: deletion is immediate.</w:t>
      </w:r>
    </w:p>
    <w:p>
      <w:pPr>
        <w:pStyle w:val="ListBullet"/>
      </w:pPr>
      <w:r>
        <w:t xml:space="preserve">No confirmation email is sent after deletion.</w:t>
      </w:r>
    </w:p>
    <w:p>
      <w:pPr>
        <w:pStyle w:val="ListBullet"/>
      </w:pPr>
      <w:r>
        <w:t xml:space="preserve">Pro Events Q&amp;A questions are anonymous and stay (they have no user id).</w:t>
      </w:r>
    </w:p>
    <w:p>
      <w:pPr>
        <w:pStyle w:val="ListBullet"/>
      </w:pPr>
      <w:r>
        <w:t xml:space="preserve">The Stripe customer record stays in Stripe (needed for invoices); only the subscription is cancelled.</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 xml:space="preserve">How it's calculated: 4 inputs, scored as in the table (Fear &amp; Greed can score ±1.5 at the extremes, the others −1/0/+1), summed, then NORMALIZED by dividing by the count of non-zero (“active”) signals, so the verdict stays meaningful when some signals are neutral. Long/Short bias is intentionally NOT part of this composite — it still drives the standalone On-Chain Bias macro tile below, just not this score. Follows Rachelle's Plus §1.1 exactly since v1.19 (17 Oct 2026).</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pPr/>
            <w:r>
              <w:t xml:space="preserve">Fear &amp; Greed</w:t>
            </w:r>
          </w:p>
        </w:tc>
        <w:tc>
          <w:tcPr>
            <w:tcW w:type="dxa" w:w="4320"/>
          </w:tcPr>
          <w:p>
            <w:pPr/>
            <w:r>
              <w:t xml:space="preserve">0–24 → +1.5 · 25–45 → +1 · 46–55 → 0 · 56–74 → −1 · 75–100 → −1.5 (contrarian, weighted at the extremes)</w:t>
            </w:r>
          </w:p>
        </w:tc>
      </w:tr>
      <w:tr>
        <w:tc>
          <w:tcPr>
            <w:tcW w:type="dxa" w:w="4320"/>
          </w:tcPr>
          <w:p>
            <w:pPr/>
            <w:r>
              <w:t xml:space="preserve">ETF Flow (7D)</w:t>
            </w:r>
          </w:p>
        </w:tc>
        <w:tc>
          <w:tcPr>
            <w:tcW w:type="dxa" w:w="4320"/>
          </w:tcPr>
          <w:p>
            <w:pPr/>
            <w:r>
              <w:t xml:space="preserve">7-day cumulative &gt; +$100M → +1 · within ±$100M → 0 · &lt; −$100M → −1 (BTC and ETH chips; 0 for coins without an ETF)</w:t>
            </w:r>
          </w:p>
        </w:tc>
      </w:tr>
      <w:tr>
        <w:tc>
          <w:tcPr>
            <w:tcW w:type="dxa" w:w="4320"/>
          </w:tcPr>
          <w:p>
            <w:pPr/>
            <w:r>
              <w:t xml:space="preserve">Funding Rate</w:t>
            </w:r>
          </w:p>
        </w:tc>
        <w:tc>
          <w:tcPr>
            <w:tcW w:type="dxa" w:w="4320"/>
          </w:tcPr>
          <w:p>
            <w:pPr/>
            <w:r>
              <w:t xml:space="preserve">&gt; +0.10% → −1 (overheated long) · −0.05%…+0.10% → 0 · &lt; −0.05% → +1 (crowded short, contrarian bullish). The feed is already in percent.</w:t>
            </w:r>
          </w:p>
        </w:tc>
      </w:tr>
      <w:tr>
        <w:tc>
          <w:tcPr>
            <w:tcW w:type="dxa" w:w="4320"/>
          </w:tcPr>
          <w:p>
            <w:pPr/>
            <w:r>
              <w:t xml:space="preserve">OI vs Price</w:t>
            </w:r>
          </w:p>
        </w:tc>
        <w:tc>
          <w:tcPr>
            <w:tcW w:type="dxa" w:w="4320"/>
          </w:tcPr>
          <w:p>
            <w:pPr/>
            <w:r>
              <w:t xml:space="preserve">OI up + price up → +1 · OI up + price down → −1 (overleveraged) · everything else → 0 (OI up + flat, short covering, unwind)</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 xml:space="preserve">Confidence = share of the ACTIVE (non-zero) signals that agree with the winning direction (an extreme Fear &amp; Greed counts as one signal). Floor: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 xml:space="preserve">One card per asset — price, 24h change, the same fused regime engine as 1.1 scoped to that asset, and its own confidence score. Fetched via /api/futures/pairs-markets (one call per coin; the batched endpoint is locked on our plan) plus the same funding/OI/L-S endpoints, scoped per asset. Each asset runs the engine fully independently — no inheriting BTC's confidence. HYPE has fewer reliable signals, so its confidence is capped at 0.7 (Plus §1.3).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 team-added Calendar event is HIGH impact, starts within the next 24 hours, and hasn't been dismissed in this browser (v1.20: team-added HIGH events only — the Calendar is manual-first, Rachelle v1.15 Plus §5; feed events never trigger it).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5"/>
      </w:pPr>
      <w:r>
        <w:t xml:space="preserve">1.6 Console badge</w:t>
      </w:r>
    </w:p>
    <w:p>
      <w:pPr/>
      <w:r>
        <w:t xml:space="preserve">Built in v1.20 (Rachelle v1.15 Plus §1.5, from Calendar §7.4). A team-added HIGH Calendar event that starts within the next 6 hours shows as an amber badge at the top of the Console: “{event title} in 4h — expect volatility” (under an hour: “in 35m”), with “+N more” when several qualify. Clicking it opens the Calendar. All-day events and events that already started are left out; the countdown updates every minute. Code: consoleBadgeEvents / badgeCountdown in src/lib/market/rules/calendarEvents.ts, component src/components/world/panels/ConsoleEventBadge.tsx.</w:t>
      </w:r>
    </w:p>
    <w:p>
      <w:pPr>
        <w:pStyle w:val="Heading2"/>
      </w:pPr>
      <w:r>
        <w:t>2. On-Chain Insights</w:t>
      </w:r>
    </w:p>
    <w:p>
      <w:pPr/>
      <w:r>
        <w:t>Market-structure deep dive per asset — 8 independent panels plus the Spot Pulse verdict grid.</w:t>
      </w:r>
    </w:p>
    <w:p>
      <w:pPr>
        <w:pStyle w:val="Heading3"/>
      </w:pPr>
      <w:r>
        <w:t>What it is</w:t>
      </w:r>
    </w:p>
    <w:p>
      <w:pPr/>
      <w:r>
        <w:t xml:space="preserve">Selectable asset (BTC/ETH/SOL/BNB/HYPE)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 xml:space="preserve">Pick an asset tab (BTC/ETH/SOL/BNB/HYPE — HYPE replaced AVAX in v1.20; HYPE has no exchange-balance data, so its Netflow panel shows “No data”)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 xml:space="preserve">How it's calculated: bands on the 3-cycle average funding rate (Rachelle v1.15 Plus §2.1 — continuous bands, no holes; “Mild Short Bias” removed in v1.20); a “Persistently” modifier applies if the current band is extreme AND the last 3 cycles were all extreme in the same direction; a “· Rising Fast” tag fires if the 24h delta &gt; +0.05%, or “· Unwinding” if an extreme reading is moving back toward zero. Scale: the feed is already in percent (BTC 0.0066 = 0.0066%). Until v1.20 this page multiplied it by 100, so normal funding read as Overheated Long — fixed.</w:t>
      </w:r>
    </w:p>
    <w:tbl>
      <w:tblPr>
        <w:tblStyle w:val="LightGrid-Accent1"/>
        <w:tblW w:type="auto" w:w="0"/>
        <w:tblLook w:firstColumn="1" w:firstRow="1" w:lastColumn="0" w:lastRow="0" w:noHBand="0" w:noVBand="1" w:val="04A0"/>
      </w:tblPr>
      <w:tblGrid>
        <w:gridCol w:w="3000"/>
        <w:gridCol w:w="3000"/>
        <w:gridCol w:w="3000"/>
      </w:tblGrid>
      <w:tr>
        <w:tc>
          <w:tcPr>
            <w:tcW w:type="dxa" w:w="3000"/>
          </w:tcPr>
          <w:p>
            <w:pPr/>
            <w:r>
              <w:t xml:space="preserve">3-cycle avg funding rate</w:t>
            </w:r>
          </w:p>
        </w:tc>
        <w:tc>
          <w:tcPr>
            <w:tcW w:type="dxa" w:w="3000"/>
          </w:tcPr>
          <w:p>
            <w:pPr/>
            <w:r>
              <w:t xml:space="preserve">Verdict</w:t>
            </w:r>
          </w:p>
        </w:tc>
        <w:tc>
          <w:tcPr>
            <w:tcW w:type="dxa" w:w="3000"/>
          </w:tcPr>
          <w:p>
            <w:pPr/>
            <w:r>
              <w:t xml:space="preserve">Color</w:t>
            </w:r>
          </w:p>
        </w:tc>
      </w:tr>
      <w:tr>
        <w:tc>
          <w:tcPr>
            <w:tcW w:type="dxa" w:w="3000"/>
          </w:tcPr>
          <w:p>
            <w:pPr/>
            <w:r>
              <w:t xml:space="preserve">&gt; +0.15%</w:t>
            </w:r>
          </w:p>
        </w:tc>
        <w:tc>
          <w:tcPr>
            <w:tcW w:type="dxa" w:w="3000"/>
          </w:tcPr>
          <w:p>
            <w:pPr/>
            <w:r>
              <w:t xml:space="preserve">Overheated Long</w:t>
            </w:r>
          </w:p>
        </w:tc>
        <w:tc>
          <w:tcPr>
            <w:tcW w:type="dxa" w:w="3000"/>
          </w:tcPr>
          <w:p>
            <w:pPr/>
            <w:r>
              <w:t xml:space="preserve">red</w:t>
            </w:r>
          </w:p>
        </w:tc>
      </w:tr>
      <w:tr>
        <w:tc>
          <w:tcPr>
            <w:tcW w:type="dxa" w:w="3000"/>
          </w:tcPr>
          <w:p>
            <w:pPr/>
            <w:r>
              <w:t xml:space="preserve">+0.05% to +0.15%</w:t>
            </w:r>
          </w:p>
        </w:tc>
        <w:tc>
          <w:tcPr>
            <w:tcW w:type="dxa" w:w="3000"/>
          </w:tcPr>
          <w:p>
            <w:pPr/>
            <w:r>
              <w:t xml:space="preserve">Crowded Long</w:t>
            </w:r>
          </w:p>
        </w:tc>
        <w:tc>
          <w:tcPr>
            <w:tcW w:type="dxa" w:w="3000"/>
          </w:tcPr>
          <w:p>
            <w:pPr/>
            <w:r>
              <w:t xml:space="preserve">amber</w:t>
            </w:r>
          </w:p>
        </w:tc>
      </w:tr>
      <w:tr>
        <w:tc>
          <w:tcPr>
            <w:tcW w:type="dxa" w:w="3000"/>
          </w:tcPr>
          <w:p>
            <w:pPr/>
            <w:r>
              <w:t xml:space="preserve">−0.05% to +0.05%</w:t>
            </w:r>
          </w:p>
        </w:tc>
        <w:tc>
          <w:tcPr>
            <w:tcW w:type="dxa" w:w="3000"/>
          </w:tcPr>
          <w:p>
            <w:pPr/>
            <w:r>
              <w:t xml:space="preserve">Neutral</w:t>
            </w:r>
          </w:p>
        </w:tc>
        <w:tc>
          <w:tcPr>
            <w:tcW w:type="dxa" w:w="3000"/>
          </w:tcPr>
          <w:p>
            <w:pPr/>
            <w:r>
              <w:t xml:space="preserve">grey</w:t>
            </w:r>
          </w:p>
        </w:tc>
      </w:tr>
      <w:tr>
        <w:tc>
          <w:tcPr>
            <w:tcW w:type="dxa" w:w="3000"/>
          </w:tcPr>
          <w:p>
            <w:pPr/>
            <w:r>
              <w:t xml:space="preserve">−0.10% to −0.05%</w:t>
            </w:r>
          </w:p>
        </w:tc>
        <w:tc>
          <w:tcPr>
            <w:tcW w:type="dxa" w:w="3000"/>
          </w:tcPr>
          <w:p>
            <w:pPr/>
            <w:r>
              <w:t xml:space="preserve">Crowded Short</w:t>
            </w:r>
          </w:p>
        </w:tc>
        <w:tc>
          <w:tcPr>
            <w:tcW w:type="dxa" w:w="3000"/>
          </w:tcPr>
          <w:p>
            <w:pPr/>
            <w:r>
              <w:t xml:space="preserve">amber</w:t>
            </w:r>
          </w:p>
        </w:tc>
      </w:tr>
      <w:tr>
        <w:tc>
          <w:tcPr>
            <w:tcW w:type="dxa" w:w="3000"/>
          </w:tcPr>
          <w:p>
            <w:pPr/>
            <w:r>
              <w:t xml:space="preserve">&lt; −0.10%</w:t>
            </w:r>
          </w:p>
        </w:tc>
        <w:tc>
          <w:tcPr>
            <w:tcW w:type="dxa" w:w="3000"/>
          </w:tcPr>
          <w:p>
            <w:pPr/>
            <w:r>
              <w:t xml:space="preserve">Extreme Short</w:t>
            </w:r>
          </w:p>
        </w:tc>
        <w:tc>
          <w:tcPr>
            <w:tcW w:type="dxa" w:w="3000"/>
          </w:tcPr>
          <w:p>
            <w:pPr/>
            <w:r>
              <w:t xml:space="preserve">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v1.20 (Rachelle v1.15 Plus §2.2): the panel opens on 7D. On the page's 24H range it reads the 7-day exchange-balance change and says “· 7D (updates daily)” — CoinGlass exchange balances update once a day, so a 24-hour window usually compares a value with itself. A zero change still shows “Updates daily”.</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250"/>
        <w:gridCol w:w="2250"/>
        <w:gridCol w:w="2250"/>
        <w:gridCol w:w="2250"/>
      </w:tblGrid>
      <w:tr>
        <w:tc>
          <w:tcPr>
            <w:tcW w:type="dxa" w:w="2250"/>
          </w:tcPr>
          <w:p>
            <w:pPr/>
            <w:r>
              <w:t xml:space="preserve">OI direction</w:t>
            </w:r>
          </w:p>
        </w:tc>
        <w:tc>
          <w:tcPr>
            <w:tcW w:type="dxa" w:w="2250"/>
          </w:tcPr>
          <w:p>
            <w:pPr/>
            <w:r>
              <w:t xml:space="preserve">Price direction</w:t>
            </w:r>
          </w:p>
        </w:tc>
        <w:tc>
          <w:tcPr>
            <w:tcW w:type="dxa" w:w="2250"/>
          </w:tcPr>
          <w:p>
            <w:pPr/>
            <w:r>
              <w:t xml:space="preserve">Verdict</w:t>
            </w:r>
          </w:p>
        </w:tc>
        <w:tc>
          <w:tcPr>
            <w:tcW w:type="dxa" w:w="2250"/>
          </w:tcPr>
          <w:p>
            <w:pPr/>
            <w:r>
              <w:t xml:space="preserve">Color</w:t>
            </w:r>
          </w:p>
        </w:tc>
      </w:tr>
      <w:tr>
        <w:tc>
          <w:tcPr>
            <w:tcW w:type="dxa" w:w="2250"/>
          </w:tcPr>
          <w:p>
            <w:pPr/>
            <w:r>
              <w:t xml:space="preserve">Up</w:t>
            </w:r>
          </w:p>
        </w:tc>
        <w:tc>
          <w:tcPr>
            <w:tcW w:type="dxa" w:w="2250"/>
          </w:tcPr>
          <w:p>
            <w:pPr/>
            <w:r>
              <w:t xml:space="preserve">Up</w:t>
            </w:r>
          </w:p>
        </w:tc>
        <w:tc>
          <w:tcPr>
            <w:tcW w:type="dxa" w:w="2250"/>
          </w:tcPr>
          <w:p>
            <w:pPr/>
            <w:r>
              <w:t xml:space="preserve">Trend Strengthening</w:t>
            </w:r>
          </w:p>
        </w:tc>
        <w:tc>
          <w:tcPr>
            <w:tcW w:type="dxa" w:w="2250"/>
          </w:tcPr>
          <w:p>
            <w:pPr/>
            <w:r>
              <w:t xml:space="preserve">green</w:t>
            </w:r>
          </w:p>
        </w:tc>
      </w:tr>
      <w:tr>
        <w:tc>
          <w:tcPr>
            <w:tcW w:type="dxa" w:w="2250"/>
          </w:tcPr>
          <w:p>
            <w:pPr/>
            <w:r>
              <w:t xml:space="preserve">Up</w:t>
            </w:r>
          </w:p>
        </w:tc>
        <w:tc>
          <w:tcPr>
            <w:tcW w:type="dxa" w:w="2250"/>
          </w:tcPr>
          <w:p>
            <w:pPr/>
            <w:r>
              <w:t xml:space="preserve">Flat</w:t>
            </w:r>
          </w:p>
        </w:tc>
        <w:tc>
          <w:tcPr>
            <w:tcW w:type="dxa" w:w="2250"/>
          </w:tcPr>
          <w:p>
            <w:pPr/>
            <w:r>
              <w:t xml:space="preserve">Leverage Building</w:t>
            </w:r>
          </w:p>
        </w:tc>
        <w:tc>
          <w:tcPr>
            <w:tcW w:type="dxa" w:w="2250"/>
          </w:tcPr>
          <w:p>
            <w:pPr/>
            <w:r>
              <w:t xml:space="preserve">amber</w:t>
            </w:r>
          </w:p>
        </w:tc>
      </w:tr>
      <w:tr>
        <w:tc>
          <w:tcPr>
            <w:tcW w:type="dxa" w:w="2250"/>
          </w:tcPr>
          <w:p>
            <w:pPr/>
            <w:r>
              <w:t xml:space="preserve">Up</w:t>
            </w:r>
          </w:p>
        </w:tc>
        <w:tc>
          <w:tcPr>
            <w:tcW w:type="dxa" w:w="2250"/>
          </w:tcPr>
          <w:p>
            <w:pPr/>
            <w:r>
              <w:t xml:space="preserve">Down</w:t>
            </w:r>
          </w:p>
        </w:tc>
        <w:tc>
          <w:tcPr>
            <w:tcW w:type="dxa" w:w="2250"/>
          </w:tcPr>
          <w:p>
            <w:pPr/>
            <w:r>
              <w:t xml:space="preserve">Overleveraged Market</w:t>
            </w:r>
          </w:p>
        </w:tc>
        <w:tc>
          <w:tcPr>
            <w:tcW w:type="dxa" w:w="2250"/>
          </w:tcPr>
          <w:p>
            <w:pPr/>
            <w:r>
              <w:t xml:space="preserve">red</w:t>
            </w:r>
          </w:p>
        </w:tc>
      </w:tr>
      <w:tr>
        <w:tc>
          <w:tcPr>
            <w:tcW w:type="dxa" w:w="2250"/>
          </w:tcPr>
          <w:p>
            <w:pPr/>
            <w:r>
              <w:t xml:space="preserve">Down</w:t>
            </w:r>
          </w:p>
        </w:tc>
        <w:tc>
          <w:tcPr>
            <w:tcW w:type="dxa" w:w="2250"/>
          </w:tcPr>
          <w:p>
            <w:pPr/>
            <w:r>
              <w:t xml:space="preserve">Up</w:t>
            </w:r>
          </w:p>
        </w:tc>
        <w:tc>
          <w:tcPr>
            <w:tcW w:type="dxa" w:w="2250"/>
          </w:tcPr>
          <w:p>
            <w:pPr/>
            <w:r>
              <w:t xml:space="preserve">Short Covering Rally</w:t>
            </w:r>
          </w:p>
        </w:tc>
        <w:tc>
          <w:tcPr>
            <w:tcW w:type="dxa" w:w="2250"/>
          </w:tcPr>
          <w:p>
            <w:pPr/>
            <w:r>
              <w:t xml:space="preserve">amber</w:t>
            </w:r>
          </w:p>
        </w:tc>
      </w:tr>
      <w:tr>
        <w:tc>
          <w:tcPr>
            <w:tcW w:type="dxa" w:w="2250"/>
          </w:tcPr>
          <w:p>
            <w:pPr/>
            <w:r>
              <w:t xml:space="preserve">Down</w:t>
            </w:r>
          </w:p>
        </w:tc>
        <w:tc>
          <w:tcPr>
            <w:tcW w:type="dxa" w:w="2250"/>
          </w:tcPr>
          <w:p>
            <w:pPr/>
            <w:r>
              <w:t xml:space="preserve">Flat</w:t>
            </w:r>
          </w:p>
        </w:tc>
        <w:tc>
          <w:tcPr>
            <w:tcW w:type="dxa" w:w="2250"/>
          </w:tcPr>
          <w:p>
            <w:pPr/>
            <w:r>
              <w:t xml:space="preserve">Deleveraging</w:t>
            </w:r>
          </w:p>
        </w:tc>
        <w:tc>
          <w:tcPr>
            <w:tcW w:type="dxa" w:w="2250"/>
          </w:tcPr>
          <w:p>
            <w:pPr/>
            <w:r>
              <w:t xml:space="preserve">grey</w:t>
            </w:r>
          </w:p>
        </w:tc>
      </w:tr>
      <w:tr>
        <w:tc>
          <w:tcPr>
            <w:tcW w:type="dxa" w:w="2250"/>
          </w:tcPr>
          <w:p>
            <w:pPr/>
            <w:r>
              <w:t xml:space="preserve">Down</w:t>
            </w:r>
          </w:p>
        </w:tc>
        <w:tc>
          <w:tcPr>
            <w:tcW w:type="dxa" w:w="2250"/>
          </w:tcPr>
          <w:p>
            <w:pPr/>
            <w:r>
              <w:t xml:space="preserve">Down</w:t>
            </w:r>
          </w:p>
        </w:tc>
        <w:tc>
          <w:tcPr>
            <w:tcW w:type="dxa" w:w="2250"/>
          </w:tcPr>
          <w:p>
            <w:pPr/>
            <w:r>
              <w:t xml:space="preserve">Capitulation / Unwind</w:t>
            </w:r>
          </w:p>
        </w:tc>
        <w:tc>
          <w:tcPr>
            <w:tcW w:type="dxa" w:w="2250"/>
          </w:tcPr>
          <w:p>
            <w:pPr/>
            <w:r>
              <w:t xml:space="preserve">grey</w:t>
            </w:r>
          </w:p>
        </w:tc>
      </w:tr>
      <w:tr>
        <w:tc>
          <w:tcPr>
            <w:tcW w:type="dxa" w:w="2250"/>
          </w:tcPr>
          <w:p>
            <w:pPr/>
            <w:r>
              <w:t xml:space="preserve">Flat</w:t>
            </w:r>
          </w:p>
        </w:tc>
        <w:tc>
          <w:tcPr>
            <w:tcW w:type="dxa" w:w="2250"/>
          </w:tcPr>
          <w:p>
            <w:pPr/>
            <w:r>
              <w:t xml:space="preserve">Up</w:t>
            </w:r>
          </w:p>
        </w:tc>
        <w:tc>
          <w:tcPr>
            <w:tcW w:type="dxa" w:w="2250"/>
          </w:tcPr>
          <w:p>
            <w:pPr/>
            <w:r>
              <w:t xml:space="preserve">Trend Without Leverage (v1.20)</w:t>
            </w:r>
          </w:p>
        </w:tc>
        <w:tc>
          <w:tcPr>
            <w:tcW w:type="dxa" w:w="2250"/>
          </w:tcPr>
          <w:p>
            <w:pPr/>
            <w:r>
              <w:t xml:space="preserve">grey-green</w:t>
            </w:r>
          </w:p>
        </w:tc>
      </w:tr>
      <w:tr>
        <w:tc>
          <w:tcPr>
            <w:tcW w:type="dxa" w:w="2250"/>
          </w:tcPr>
          <w:p>
            <w:pPr/>
            <w:r>
              <w:t xml:space="preserve">Flat</w:t>
            </w:r>
          </w:p>
        </w:tc>
        <w:tc>
          <w:tcPr>
            <w:tcW w:type="dxa" w:w="2250"/>
          </w:tcPr>
          <w:p>
            <w:pPr/>
            <w:r>
              <w:t xml:space="preserve">Down</w:t>
            </w:r>
          </w:p>
        </w:tc>
        <w:tc>
          <w:tcPr>
            <w:tcW w:type="dxa" w:w="2250"/>
          </w:tcPr>
          <w:p>
            <w:pPr/>
            <w:r>
              <w:t xml:space="preserve">Decline Without Panic (v1.20)</w:t>
            </w:r>
          </w:p>
        </w:tc>
        <w:tc>
          <w:tcPr>
            <w:tcW w:type="dxa" w:w="2250"/>
          </w:tcPr>
          <w:p>
            <w:pPr/>
            <w:r>
              <w:t xml:space="preserve">grey</w:t>
            </w:r>
          </w:p>
        </w:tc>
      </w:tr>
      <w:tr>
        <w:tc>
          <w:tcPr>
            <w:tcW w:type="dxa" w:w="2250"/>
          </w:tcPr>
          <w:p>
            <w:pPr/>
            <w:r>
              <w:t xml:space="preserve">Flat</w:t>
            </w:r>
          </w:p>
        </w:tc>
        <w:tc>
          <w:tcPr>
            <w:tcW w:type="dxa" w:w="2250"/>
          </w:tcPr>
          <w:p>
            <w:pPr/>
            <w:r>
              <w:t xml:space="preserve">Flat</w:t>
            </w:r>
          </w:p>
        </w:tc>
        <w:tc>
          <w:tcPr>
            <w:tcW w:type="dxa" w:w="2250"/>
          </w:tcPr>
          <w:p>
            <w:pPr/>
            <w:r>
              <w:t xml:space="preserve">Stable OI</w:t>
            </w:r>
          </w:p>
        </w:tc>
        <w:tc>
          <w:tcPr>
            <w:tcW w:type="dxa" w:w="2250"/>
          </w:tcPr>
          <w:p>
            <w:pPr/>
            <w:r>
              <w:t xml:space="preserve">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the Console attention popup and the Console badge): team-added HIGH events only (v1.20, Rachelle v1.15 Plus §5 — manual-first; feed events never trigger them).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Built in v1.20: the Console badge “CPI in 4h — expect volatility” (Plus §1.6).</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 xml:space="preserve">Per asset: Price + 24h: /api/futures/pairs-markets. Funding rate: /api/futures/funding-rate/oi-weight-history (already in percent — v1.20 fixed the same ×100 scale bug as On-Chain, which had made normal funding fire “Overheated”). Long/short ratio (perp assets only): /api/futures/global-long-short-account-ratio/history. Open interest: /api/futures/open-interest/aggregated-history (1h, the same cached feed as the Console chips) — the regime tag now uses the real 24h OI direction, so “Coiling” (OI up, price flat) can fire; before v1.20 OI was estimated from price and Coiling never fired. 4 CoinGlass calls per asset, all cached;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pPr/>
            <w:r>
              <w:t xml:space="preserve">&lt; −0.05% (v1.20; was &lt;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 v1.20 (Rachelle v1.15 Pro §1) adds three market lines: Smart Money — the 3 largest Hyperliquid position OPENS in the last 24h (asset, long/short, size; closed positions are skipped), Also Worth Watching — today's Watchlist Pro Section C coins with their first reason, and Fear &amp; Greed — today's composite read (label, score / 100). Each shows an honest empty line (“No large position opens in the last 24h.”) when there is nothing.</w:t>
      </w:r>
    </w:p>
    <w:p>
      <w:pPr/>
      <w:r>
        <w:t xml:space="preserve">v1.20: the old “once the market-data integration is live” disclaimer is gone — the market data is live and the three lines above use it.</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 xml:space="preserve">The three market lines read the same endpoints as the Pro tools: /api/market/flow-radar?view=pro (smart_money events, which now carry action = open/close and side = long/short from Hyperliquid position_action / position_size), /api/market/watchlist?view=pro (sectionC) and /api/market/fear-greed (composite). Pick logic: topSmartMoneyOpens in src/lib/market/rules/digestLines.ts.</w:t>
      </w:r>
    </w:p>
    <w:p>
      <w:pPr>
        <w:pStyle w:val="Heading2"/>
      </w:pPr>
      <w:r>
        <w:t>2. Following &amp; Alerts</w:t>
      </w:r>
    </w:p>
    <w:p>
      <w:pPr/>
      <w:r>
        <w:t>Per-user follow list + genuinely live price alerts.</w:t>
      </w:r>
    </w:p>
    <w:p>
      <w:pPr>
        <w:pStyle w:val="Heading3"/>
      </w:pPr>
      <w:r>
        <w:t>What it is</w:t>
      </w:r>
    </w:p>
    <w:p>
      <w:pPr/>
      <w:r>
        <w:t xml:space="preserve">A follow list + custom alerts persisted at users/{uid}/pro/state (Firestore). Price alerts are real: a public Binance WebSocket miniTicker stream covers 30 supported coins (BTC, ETH, SOL, BNB, HYPE, XRP, DOGE, ADA, AVAX, LINK, POL, DOT, ARB, OP, LTC, TRX, NEAR, APT, SUI, INJ, ATOM, UNI, AAVE, FIL, ETC, HBAR, ICP, RENDER, IMX, SEI). v1.20 (Rachelle v1.15 Pro §2), checked against Binance on 20 Oct 2026: HYPE added; MATIC → POL and RNDR → RENDER (Binance renamed them and halted the old pairs — alerts saved on the old names keep working); TON dropped (its USDT pair is halted).</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Heading4"/>
      </w:pPr>
      <w:r>
        <w:t xml:space="preserve">Known gaps</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