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v1.5</w:t>
      </w:r>
      <w:r>
        <w:t xml:space="preserve"> · 14 Oct 2026 · compares Rachelle's “Kumami Website (6).docx” against the dev branch at commit dev (legal / compliance pass) (as-built spec v1.15).</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to production (security) </w:t>
      </w:r>
      <w:r>
        <w:rPr>
          <w:i/>
        </w:rPr>
        <w:t xml:space="preserve">(Small (≤ 1 day))</w:t>
      </w:r>
    </w:p>
    <w:p>
      <w:pPr/>
      <w:r>
        <w:t xml:space="preserve">Done and tested on the dev database (kumami-dev) on 10 Oct. Production — which kumami.world and the deployed dev website use — still lets a signed-in user make themselves Pro or superadmin and read Pro content without paying, until Andrew deploys the rules there.</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r>
        <w:tc>
          <w:tcPr>
            <w:tcW w:type="dxa" w:w="1700"/>
          </w:tcPr>
          <w:p>
            <w:pPr/>
            <w:r>
              <w:t xml:space="preserve">Legal pages and consent (not in Rachelle's spec)</w:t>
            </w:r>
          </w:p>
        </w:tc>
        <w:tc>
          <w:tcPr>
            <w:tcW w:type="dxa" w:w="2500"/>
          </w:tcPr>
          <w:p>
            <w:pPr/>
            <w:r>
              <w:t xml:space="preserve">Not covered by her spec.</w:t>
            </w:r>
          </w:p>
        </w:tc>
        <w:tc>
          <w:tcPr>
            <w:tcW w:type="dxa" w:w="2500"/>
          </w:tcPr>
          <w:p>
            <w:pPr/>
            <w:r>
              <w:t xml:space="preserve">Privacy Policy, cookie banner (analytics only after Accept), Terms/Privacy links at sign-up and payment, and a not-financial-advice footer on every app page (Andrew's spec v1.15, Basic §7).</w:t>
            </w:r>
          </w:p>
        </w:tc>
        <w:tc>
          <w:tcPr>
            <w:tcW w:type="dxa" w:w="2300"/>
          </w:tcPr>
          <w:p>
            <w:pPr/>
            <w:r>
              <w:t xml:space="preserve">Company legal name, country and privacy email for the policy; confirm 18+; refund policy; referral rules.</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p>
      <w:pPr>
        <w:pStyle w:val="Heading2"/>
      </w:pPr>
      <w:r>
        <w:t xml:space="preserve">v1.4 — 11 Oct 2026</w:t>
      </w:r>
    </w:p>
    <w:p>
      <w:pPr>
        <w:pStyle w:val="ListBullet"/>
      </w:pPr>
      <w:r>
        <w:t xml:space="preserve">Priority 1 updated: the Firestore rules fix is live on kumami-dev; production deploy still pending.</w:t>
      </w:r>
    </w:p>
    <w:p>
      <w:pPr>
        <w:pStyle w:val="ListBullet"/>
      </w:pPr>
      <w:r>
        <w:t xml:space="preserve">Refreshed against Andrew’s spec v1.12 (coin logos; Kuma AI knowledge refresh planned).</w:t>
      </w:r>
    </w:p>
    <w:p>
      <w:pPr>
        <w:pStyle w:val="Heading2"/>
      </w:pPr>
      <w:r>
        <w:t xml:space="preserve">v1.5 — 14 Oct 2026</w:t>
      </w:r>
    </w:p>
    <w:p>
      <w:pPr>
        <w:pStyle w:val="ListBullet"/>
      </w:pPr>
      <w:r>
        <w:t xml:space="preserve">Refreshed against Andrew’s spec v1.15 (legal / compliance pass). No rows from Rachelle’s spec changed — her spec doesn’t cover legal pages; added a decisions row for the open legal questions.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