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1.19</w:t>
      </w:r>
      <w:r>
        <w:t xml:space="preserve"> · 17 Oct 2026</w:t>
      </w:r>
      <w:r>
        <w:t xml:space="preserve"> · reflects the dev branch at commit 63c0bb3</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v1.19 — 17 Oct 2026</w:t>
      </w:r>
    </w:p>
    <w:p>
      <w:pPr/>
      <w:r>
        <w:rPr>
          <w:i/>
        </w:rPr>
        <w:t xml:space="preserve">Console regime scoring now follows Rachelle's Plus §1.1 exactly (Andrew: fix the gaps one by one, 17 Oct 2026).</w:t>
      </w:r>
    </w:p>
    <w:p>
      <w:pPr>
        <w:pStyle w:val="ListBullet"/>
      </w:pPr>
      <w:r>
        <w:rPr>
          <w:b/>
        </w:rPr>
        <w:t xml:space="preserve">Console (Plus §1.1). </w:t>
      </w:r>
      <w:r>
        <w:t xml:space="preserve">Fear &amp; Greed is weighted at the extremes (Extreme Fear +1.5, Extreme Greed −1.5); ETF flow only counts beyond ±$100M over 7 days; funding scores −1 above +0.1% and +1 below −0.05% (0 in between); OI up + price flat is now 0 and OI up + price down is −1; confidence is the share of active signals that agree (neutral signals no longer drag it down); HYPE's confidence is capped at 0.7.</w:t>
      </w:r>
    </w:p>
    <w:p>
      <w:pPr>
        <w:pStyle w:val="ListBullet"/>
      </w:pPr>
      <w:r>
        <w:rPr>
          <w:b/>
        </w:rPr>
        <w:t xml:space="preserve">Bug fixed: funding scale. </w:t>
      </w:r>
      <w:r>
        <w:t xml:space="preserve">The OI-weighted funding feed is already a percentage (BTC 0.0066 = 0.0066%). The Console multiplied it by 100, so normal funding read as about 0.66% and scored overheated, pulling verdicts bearish. On-Chain Insights (§2.1) and Watchlist Plus still have this bug; it is the next fix.</w:t>
      </w:r>
    </w:p>
    <w:p>
      <w:pPr>
        <w:pStyle w:val="ListBullet"/>
      </w:pPr>
      <w:r>
        <w:rPr>
          <w:b/>
        </w:rPr>
        <w:t xml:space="preserve">Corrections: </w:t>
      </w:r>
      <w:r>
        <w:t xml:space="preserve">§1.3 said the chips' prices come from one batched call; they come from one /api/futures/pairs-markets call per coin (the batched endpoint is locked on our plan).</w:t>
      </w:r>
    </w:p>
    <w:p>
      <w:pPr>
        <w:pStyle w:val="ListBullet"/>
      </w:pPr>
      <w:r>
        <w:rPr>
          <w:b/>
        </w:rPr>
        <w:t xml:space="preserve">Not re-audited in this version: </w:t>
      </w:r>
      <w:r>
        <w:rPr>
          <w:i/>
        </w:rPr>
        <w:t xml:space="preserve">everything outside Console §1.1 and §1.3.</w:t>
      </w:r>
    </w:p>
    <w:p>
      <w:pPr>
        <w:pStyle w:val="Heading2"/>
      </w:pPr>
      <w:r>
        <w:t xml:space="preserve">v1.18 — 15 Oct 2026</w:t>
      </w:r>
    </w:p>
    <w:p>
      <w:pPr/>
      <w:r>
        <w:rPr>
          <w:i/>
        </w:rPr>
        <w:t xml:space="preserve">Invented legal text removed (to-do 5227a4b7, Andrew): legal content comes from Andrew's team only.</w:t>
      </w:r>
    </w:p>
    <w:p>
      <w:pPr>
        <w:pStyle w:val="ListBullet"/>
      </w:pPr>
      <w:r>
        <w:rPr>
          <w:b/>
        </w:rPr>
        <w:t xml:space="preserve">Reverted: Legal &amp; cookies (Basic §7). </w:t>
      </w:r>
      <w:r>
        <w:t xml:space="preserve">The v1.15/v1.17 Terms rewrite is gone. /terms and /world/terms show the team's original Terms again, read from Firestore app_config/terms_and_conditions (as on main). The invented Privacy Policy (/privacy, /world/privacy) is removed with every link to it — main never had one. Removed the made-up sign-up line (agree / 18+ / not financial advice), the Subscribe refund and “by paying you agree” lines, and the shell “not financial advice” paragraph. Section retitled “7. Terms &amp; cookies”.</w:t>
      </w:r>
    </w:p>
    <w:p>
      <w:pPr>
        <w:pStyle w:val="ListBullet"/>
      </w:pPr>
      <w:r>
        <w:rPr>
          <w:b/>
        </w:rPr>
        <w:t xml:space="preserve">Kept (Andrew, 15 Oct 2026): </w:t>
      </w:r>
      <w:r>
        <w:t xml:space="preserve">the cookie banner and Account deletion (Basic §8). The deletion panel no longer cites tax law, a privacy policy or refunds.</w:t>
      </w:r>
    </w:p>
    <w:p>
      <w:pPr>
        <w:pStyle w:val="ListBullet"/>
      </w:pPr>
      <w:r>
        <w:rPr>
          <w:b/>
        </w:rPr>
        <w:t xml:space="preserve">Corrections to v1.15–v1.17 text: </w:t>
      </w:r>
      <w:r>
        <w:t xml:space="preserve">the 18+ age, refund rule, referral rules and other “Andrew decisions” recorded there were invented wording, not Andrew's decisions.</w:t>
      </w:r>
    </w:p>
    <w:p>
      <w:pPr>
        <w:pStyle w:val="ListBullet"/>
      </w:pPr>
      <w:r>
        <w:rPr>
          <w:b/>
        </w:rPr>
        <w:t xml:space="preserve">Open for Andrew's team: </w:t>
      </w:r>
      <w:r>
        <w:t xml:space="preserve">Privacy Policy text, company details, refund and referral wording, disclaimer wording, age — proposed as to-dos. The rest of the 20-item reel checklist stays on the roadmap only.</w:t>
      </w:r>
    </w:p>
    <w:p>
      <w:pPr>
        <w:pStyle w:val="ListBullet"/>
      </w:pPr>
      <w:r>
        <w:rPr>
          <w:b/>
        </w:rPr>
        <w:t xml:space="preserve">Not re-audited in this version: </w:t>
      </w:r>
      <w:r>
        <w:rPr>
          <w:i/>
        </w:rPr>
        <w:t xml:space="preserve">everything outside Basic §7–§8.</w:t>
      </w:r>
    </w:p>
    <w:p>
      <w:pPr>
        <w:pStyle w:val="Heading2"/>
      </w:pPr>
      <w:r>
        <w:t xml:space="preserve">v1.17 — 14 Oct 2026</w:t>
      </w:r>
    </w:p>
    <w:p>
      <w:pPr/>
      <w:r>
        <w:rPr>
          <w:i/>
        </w:rPr>
        <w:t xml:space="preserve">Terms of Service rewritten after Andrew's legal decisions (to-do 35775685). Audit: docs/legal/2026-10-14-compliance-audit.md.</w:t>
      </w:r>
    </w:p>
    <w:p>
      <w:pPr>
        <w:pStyle w:val="ListBullet"/>
      </w:pPr>
      <w:r>
        <w:rPr>
          <w:b/>
        </w:rPr>
        <w:t xml:space="preserve">Changed: Legal, privacy &amp; cookies (Basic §7). </w:t>
      </w:r>
      <w:r>
        <w:t xml:space="preserve">The Terms of Service at /terms and /world/terms are rewritten and now written in code, like the Privacy Policy (the Firestore text is no longer read). New: 18+ (was 17), not financial advice, AI answers can be wrong, Pro prices and auto-renewal, refunds (none once a paid period has started; cancel any time and keep Pro to the period end), sanctions, referral rules, acceptable use, copyright complaints, termination, liability cap, governing law.</w:t>
      </w:r>
    </w:p>
    <w:p>
      <w:pPr>
        <w:pStyle w:val="ListBullet"/>
      </w:pPr>
      <w:r>
        <w:rPr>
          <w:b/>
        </w:rPr>
        <w:t xml:space="preserve">Subscribe (Pro §21). </w:t>
      </w:r>
      <w:r>
        <w:t xml:space="preserve">The payment note now says payments are non-refundable once a period has started, with a link to Terms → Refunds.</w:t>
      </w:r>
    </w:p>
    <w:p>
      <w:pPr>
        <w:pStyle w:val="ListBullet"/>
      </w:pPr>
      <w:r>
        <w:rPr>
          <w:b/>
        </w:rPr>
        <w:t xml:space="preserve">Still open: </w:t>
      </w:r>
      <w:r>
        <w:t xml:space="preserve">company legal name, country and contact email are placeholders on both Terms and Privacy (one shared setting, src/components/legal/entity.ts); a lawyer review before main.</w:t>
      </w:r>
    </w:p>
    <w:p>
      <w:pPr>
        <w:pStyle w:val="ListBullet"/>
      </w:pPr>
      <w:r>
        <w:rPr>
          <w:b/>
        </w:rPr>
        <w:t xml:space="preserve">Not re-audited in this version: </w:t>
      </w:r>
      <w:r>
        <w:rPr>
          <w:i/>
        </w:rPr>
        <w:t xml:space="preserve">every section except Basic §7 and the Subscribe note in Pro §21.</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Terms &amp; cookies</w:t>
      </w:r>
    </w:p>
    <w:p>
      <w:pPr/>
      <w:r>
        <w:t xml:space="preserve">The Terms page and the cookie banner every visitor sees.</w:t>
      </w:r>
    </w:p>
    <w:p>
      <w:pPr>
        <w:pStyle w:val="Heading3"/>
      </w:pPr>
      <w:r>
        <w:t xml:space="preserve">What it is</w:t>
      </w:r>
    </w:p>
    <w:p>
      <w:pPr/>
      <w:r>
        <w:t xml:space="preserve">The team's Terms &amp; Conditions (supplied by Andrew's team, shown as written) and a cookie-consent banner that controls Google Analytics. There is no Privacy Policy page yet.</w:t>
      </w:r>
    </w:p>
    <w:p>
      <w:pPr>
        <w:pStyle w:val="Heading3"/>
      </w:pPr>
      <w:r>
        <w:t xml:space="preserve">Where it is</w:t>
      </w:r>
    </w:p>
    <w:p>
      <w:pPr/>
      <w:r>
        <w:t xml:space="preserve">Tier: everyone, signed in or not.</w:t>
      </w:r>
    </w:p>
    <w:p>
      <w:pPr>
        <w:pStyle w:val="ListBullet"/>
      </w:pPr>
      <w:r>
        <w:t xml:space="preserve">Terms: /terms (public, with the site footer) and /world/terms (inside the shell).</w:t>
      </w:r>
    </w:p>
    <w:p>
      <w:pPr>
        <w:pStyle w:val="ListBullet"/>
      </w:pPr>
      <w:r>
        <w:t xml:space="preserve">Cookie banner: bottom of the screen on any page until the visitor answers. Reopened from “Cookie settings”.</w:t>
      </w:r>
    </w:p>
    <w:p>
      <w:pPr>
        <w:pStyle w:val="ListBullet"/>
      </w:pPr>
      <w:r>
        <w:t xml:space="preserve">Links: landing page (Terms · Cookie settings under the copyright), site footer (Company → Terms, Cookie settings), sidebar brand menu (Company → Terms of Service), and a small links-only footer at the bottom of every /world page (Terms · Cookie settings).</w:t>
      </w:r>
    </w:p>
    <w:p>
      <w:pPr>
        <w:pStyle w:val="Heading3"/>
      </w:pPr>
      <w:r>
        <w:t xml:space="preserve">How the user uses it</w:t>
      </w:r>
    </w:p>
    <w:p>
      <w:pPr>
        <w:pStyle w:val="ListBullet"/>
      </w:pPr>
      <w:r>
        <w:t xml:space="preserve">First visit: the banner explains that sign-in cookies are needed and asks about analytics cookies. “Accept analytics” starts Google Analytics; “Reject analytics” keeps it off and deletes the _ga cookies. The choice is saved in the browser.</w:t>
      </w:r>
    </w:p>
    <w:p>
      <w:pPr>
        <w:pStyle w:val="ListBullet"/>
      </w:pPr>
      <w:r>
        <w:t xml:space="preserve">Terms: open the link to read the team's Terms &amp; Conditions.</w:t>
      </w:r>
    </w:p>
    <w:p>
      <w:pPr>
        <w:pStyle w:val="Heading3"/>
      </w:pPr>
      <w:r>
        <w:t xml:space="preserve">How we build it</w:t>
      </w:r>
    </w:p>
    <w:p>
      <w:pPr>
        <w:pStyle w:val="Heading4"/>
      </w:pPr>
      <w:r>
        <w:t xml:space="preserve">Via API</w:t>
      </w:r>
    </w:p>
    <w:p>
      <w:pPr/>
      <w:r>
        <w:t xml:space="preserve">None. src/components/TermsContent.tsx reads Firestore app_config/terms_and_conditions (title + markdown content) in the browser; the banner is src/components/legal/CookieConsent.tsx with src/lib/consent.ts.</w:t>
      </w:r>
    </w:p>
    <w:p>
      <w:pPr>
        <w:pStyle w:val="Heading4"/>
      </w:pPr>
      <w:r>
        <w:t xml:space="preserve">Via Admin Dashboard (manual)</w:t>
      </w:r>
    </w:p>
    <w:p>
      <w:pPr/>
      <w:r>
        <w:t xml:space="preserve">The Terms text lives in app_config/terms_and_conditions (admin-writable). Only Andrew's team supplies its wording.</w:t>
      </w:r>
    </w:p>
    <w:p>
      <w:pPr>
        <w:pStyle w:val="Heading4"/>
      </w:pPr>
      <w:r>
        <w:t xml:space="preserve">Known gaps</w:t>
      </w:r>
    </w:p>
    <w:p>
      <w:pPr>
        <w:pStyle w:val="ListBullet"/>
      </w:pPr>
      <w:r>
        <w:t xml:space="preserve">No Privacy Policy page: the text has to come from Andrew's team (to-do proposed).</w:t>
      </w:r>
    </w:p>
    <w:p>
      <w:pPr>
        <w:pStyle w:val="ListBullet"/>
      </w:pPr>
      <w:r>
        <w:t xml:space="preserve">No company details, refund wording, referral rules wording or disclaimer wording on the site; all to be supplied by Andrew's team (to-dos proposed).</w:t>
      </w:r>
    </w:p>
    <w:p>
      <w:pPr>
        <w:pStyle w:val="ListBullet"/>
      </w:pPr>
      <w:r>
        <w:t xml:space="preserve">The rest of the 20-item legal checklist (data export, breach plan, licences, DMCA, sanctions) is on the roadmap only —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says payment and invoice records (without name or email) are kept.</w:t>
      </w:r>
    </w:p>
    <w:p>
      <w:pPr>
        <w:pStyle w:val="ListBullet"/>
      </w:pPr>
      <w:r>
        <w:t xml:space="preserve">Warnings appear when they apply: “Your card subscription is cancelled now and your Pro access ends.”, “Your remaining Pro time is lost.”, and a lost referral balance.</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 xml:space="preserve">How it's calculated: 4 inputs, scored as in the table (Fear &amp; Greed can score ±1.5 at the extremes, the others −1/0/+1), summed, then NORMALIZED by dividing by the count of non-zero (“active”) signals, so the verdict stays meaningful when some signals are neutral. Long/Short bias is intentionally NOT part of this composite — it still drives the standalone On-Chain Bias macro tile below, just not this score. Follows Rachelle's Plus §1.1 exactly since v1.19 (17 Oct 2026).</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pPr/>
            <w:r>
              <w:t xml:space="preserve">Fear &amp; Greed</w:t>
            </w:r>
          </w:p>
        </w:tc>
        <w:tc>
          <w:tcPr>
            <w:tcW w:type="dxa" w:w="4320"/>
          </w:tcPr>
          <w:p>
            <w:pPr/>
            <w:r>
              <w:t xml:space="preserve">0–24 → +1.5 · 25–45 → +1 · 46–55 → 0 · 56–74 → −1 · 75–100 → −1.5 (contrarian, weighted at the extremes)</w:t>
            </w:r>
          </w:p>
        </w:tc>
      </w:tr>
      <w:tr>
        <w:tc>
          <w:tcPr>
            <w:tcW w:type="dxa" w:w="4320"/>
          </w:tcPr>
          <w:p>
            <w:pPr/>
            <w:r>
              <w:t xml:space="preserve">ETF Flow (7D)</w:t>
            </w:r>
          </w:p>
        </w:tc>
        <w:tc>
          <w:tcPr>
            <w:tcW w:type="dxa" w:w="4320"/>
          </w:tcPr>
          <w:p>
            <w:pPr/>
            <w:r>
              <w:t xml:space="preserve">7-day cumulative &gt; +$100M → +1 · within ±$100M → 0 · &lt; −$100M → −1 (BTC and ETH chips; 0 for coins without an ETF)</w:t>
            </w:r>
          </w:p>
        </w:tc>
      </w:tr>
      <w:tr>
        <w:tc>
          <w:tcPr>
            <w:tcW w:type="dxa" w:w="4320"/>
          </w:tcPr>
          <w:p>
            <w:pPr/>
            <w:r>
              <w:t xml:space="preserve">Funding Rate</w:t>
            </w:r>
          </w:p>
        </w:tc>
        <w:tc>
          <w:tcPr>
            <w:tcW w:type="dxa" w:w="4320"/>
          </w:tcPr>
          <w:p>
            <w:pPr/>
            <w:r>
              <w:t xml:space="preserve">&gt; +0.10% → −1 (overheated long) · −0.05%…+0.10% → 0 · &lt; −0.05% → +1 (crowded short, contrarian bullish). The feed is already in percent.</w:t>
            </w:r>
          </w:p>
        </w:tc>
      </w:tr>
      <w:tr>
        <w:tc>
          <w:tcPr>
            <w:tcW w:type="dxa" w:w="4320"/>
          </w:tcPr>
          <w:p>
            <w:pPr/>
            <w:r>
              <w:t xml:space="preserve">OI vs Price</w:t>
            </w:r>
          </w:p>
        </w:tc>
        <w:tc>
          <w:tcPr>
            <w:tcW w:type="dxa" w:w="4320"/>
          </w:tcPr>
          <w:p>
            <w:pPr/>
            <w:r>
              <w:t xml:space="preserve">OI up + price up → +1 · OI up + price down → −1 (overleveraged) · everything else → 0 (OI up + flat, short covering, unwind)</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 xml:space="preserve">Confidence = share of the ACTIVE (non-zero) signals that agree with the winning direction (an extreme Fear &amp; Greed counts as one signal). Floor: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 xml:space="preserve">One card per asset — price, 24h change, the same fused regime engine as 1.1 scoped to that asset, and its own confidence score. Fetched via /api/futures/pairs-markets (one call per coin; the batched endpoint is locked on our plan) plus the same funding/OI/L-S endpoints, scoped per asset. Each asset runs the engine fully independently — no inheriting BTC's confidence. HYPE has fewer reliable signals, so its confidence is capped at 0.7 (Plus §1.3).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