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Kumami World — Full Product Specification</w:t>
      </w:r>
    </w:p>
    <w:p>
      <w:r>
        <w:rPr>
          <w:i/>
        </w:rPr>
        <w:t>Every product, on every tier, the exact data source &amp; API used, and how each result is calculated. INTERNAL reference (names the data provider) — the customer-facing product never surfaces the provider name.</w:t>
      </w:r>
    </w:p>
    <w:p>
      <w:pPr/>
      <w:r>
        <w:rPr>
          <w:b/>
        </w:rPr>
        <w:t xml:space="preserve">Version 1.3</w:t>
      </w:r>
      <w:r>
        <w:t xml:space="preserve"> · 9 Oct 2026</w:t>
      </w:r>
      <w:r>
        <w:t xml:space="preserve"> · reflects the dev branch at commit 1ff3383</w:t>
      </w:r>
      <w:r>
        <w:rPr>
          <w:i/>
        </w:rPr>
        <w:t xml:space="preserve"> · see “Release notes” for what changed.</w:t>
      </w:r>
    </w:p>
    <w:p/>
    <w:p>
      <w:r>
        <w:rPr>
          <w:b/>
        </w:rPr>
        <w:t>Contents</w:t>
      </w:r>
    </w:p>
    <w:p>
      <w:r>
        <w:fldChar w:fldCharType="begin"/>
        <w:instrText xml:space="preserve">TOC \o "1-3" \h \z \u</w:instrText>
        <w:fldChar w:fldCharType="separate"/>
        <w:t>Right-click and choose 'Update Field' to build the table of contents.</w:t>
        <w:fldChar w:fldCharType="end"/>
      </w:r>
    </w:p>
    <w:p>
      <w:r>
        <w:br w:type="page"/>
      </w:r>
    </w:p>
    <w:p>
      <w:pPr>
        <w:pStyle w:val="Heading1"/>
      </w:pPr>
      <w:r>
        <w:t xml:space="preserve">Release notes</w:t>
      </w:r>
    </w:p>
    <w:p>
      <w:pPr/>
      <w:r>
        <w:rPr>
          <w:i/>
        </w:rPr>
        <w:t xml:space="preserve">What changed in each version of this document, newest first. Every entry describes how the live product changed (or how the doc was corrected to match it).</w:t>
      </w:r>
    </w:p>
    <w:p>
      <w:pPr>
        <w:pStyle w:val="Heading2"/>
      </w:pPr>
      <w:r>
        <w:t xml:space="preserve">v1.3 — 9 Oct 2026</w:t>
      </w:r>
    </w:p>
    <w:p>
      <w:pPr/>
      <w:r>
        <w:rPr>
          <w:i/>
        </w:rPr>
        <w:t xml:space="preserve">Brings the document in line with the dev branch after the 21 Sep data-integrity build and the 9 Oct Calendar / Spot Pulse build, and corrects several v1.2 statements that were already out of date.</w:t>
      </w:r>
    </w:p>
    <w:p>
      <w:pPr>
        <w:pStyle w:val="ListBullet"/>
      </w:pPr>
      <w:r>
        <w:rPr>
          <w:b/>
        </w:rPr>
        <w:t xml:space="preserve">Calendar (Plus §5, Pro §14) — one Calendar for Plus and Pro. </w:t>
      </w:r>
      <w:r>
        <w:t xml:space="preserve">Pro's separate admin-only Calendar tab is retired; /world/calendar now merges the market-data feed (macro prints + token unlocks) with events the team adds at /admin/pro-calendar. Drafts stay hidden; publish/edit/delete show on the next load. Month grid with a “Next up” card replaces the old list view.</w:t>
      </w:r>
    </w:p>
    <w:p>
      <w:pPr>
        <w:pStyle w:val="ListBullet"/>
      </w:pPr>
      <w:r>
        <w:rPr>
          <w:b/>
        </w:rPr>
        <w:t xml:space="preserve">Calendar data fixes. </w:t>
      </w:r>
      <w:r>
        <w:t xml:space="preserve">Macro feed now covers 30 days back → 60 days ahead (it previously returned only the past 30 days, so nothing upcoming showed and the high-impact popups could never fire). Unlocks are dated on the actual next unlock (were stamped “now”) and sized by that unlock as % of circulating supply.</w:t>
      </w:r>
    </w:p>
    <w:p>
      <w:pPr>
        <w:pStyle w:val="ListBullet"/>
      </w:pPr>
      <w:r>
        <w:rPr>
          <w:b/>
        </w:rPr>
        <w:t xml:space="preserve">Console (Plus §1). </w:t>
      </w:r>
      <w:r>
        <w:t xml:space="preserve">Preview row is now Spot Pulse · Flow Radar · Calendar (next 7 days) · Watchlist. The Intelligence preview and the separate “Radar Watchlist” auto-pick engine were retired. New “Needs your attention today” popup.</w:t>
      </w:r>
    </w:p>
    <w:p>
      <w:pPr>
        <w:pStyle w:val="ListBullet"/>
      </w:pPr>
      <w:r>
        <w:rPr>
          <w:b/>
        </w:rPr>
        <w:t xml:space="preserve">Intelligence (Plus §7) — removed from navigation; </w:t>
      </w:r>
      <w:r>
        <w:t xml:space="preserve">/world/intel redirects to Console. The engine still feeds Fear &amp; Greed's News Tone.</w:t>
      </w:r>
    </w:p>
    <w:p>
      <w:pPr>
        <w:pStyle w:val="ListBullet"/>
      </w:pPr>
      <w:r>
        <w:rPr>
          <w:b/>
        </w:rPr>
        <w:t xml:space="preserve">Spot Pulse (Pro §5) — now live in Pro, </w:t>
      </w:r>
      <w:r>
        <w:t xml:space="preserve">showing the same panel as Plus On-Chain Insights (faster 15s refresh for Pro). /world/spot-pulse redirects to On-Chain Insights.</w:t>
      </w:r>
    </w:p>
    <w:p>
      <w:pPr>
        <w:pStyle w:val="ListBullet"/>
      </w:pPr>
      <w:r>
        <w:rPr>
          <w:b/>
        </w:rPr>
        <w:t xml:space="preserve">Pro navigation (Pro intro, §3, §4, §12). </w:t>
      </w:r>
      <w:r>
        <w:t xml:space="preserve">Smart Money Tracker, Coin/Token Tracker and the Pro Fear &amp; Greed slot were removed (empty placeholders, absent from Rachelle's latest mockup). Pro now has 14 sidebar tabs; Security Scanner is the only placeholder left.</w:t>
      </w:r>
    </w:p>
    <w:p>
      <w:pPr>
        <w:pStyle w:val="ListBullet"/>
      </w:pPr>
      <w:r>
        <w:rPr>
          <w:b/>
        </w:rPr>
        <w:t xml:space="preserve">Watchlist (Plus §6). </w:t>
      </w:r>
      <w:r>
        <w:t xml:space="preserve">Fixed 5-asset roster (BTC/ETH/SOL/BNB/HYPE) for everyone; the table now has separate Signal (whale / smart money / Spot Pulse) and Status (risk tags + regime) columns. Whale tags no longer wrongly Pro-gated.</w:t>
      </w:r>
    </w:p>
    <w:p>
      <w:pPr>
        <w:pStyle w:val="ListBullet"/>
      </w:pPr>
      <w:r>
        <w:rPr>
          <w:b/>
        </w:rPr>
        <w:t xml:space="preserve">Fear &amp; Greed (Plus §4). </w:t>
      </w:r>
      <w:r>
        <w:t xml:space="preserve">Inverted colours fixed (Extreme Greed was red); history chart gets colour bands + axis labels; the composite shows as unavailable when all five inputs fail instead of a fake neutral 50.</w:t>
      </w:r>
    </w:p>
    <w:p>
      <w:pPr>
        <w:pStyle w:val="ListBullet"/>
      </w:pPr>
      <w:r>
        <w:rPr>
          <w:b/>
        </w:rPr>
        <w:t xml:space="preserve">All Plus panels — no stale data. </w:t>
      </w:r>
      <w:r>
        <w:t xml:space="preserve">The shared cache no longer serves old numbers when CoinGlass fails; panels show “No data” instead of $0 / 50 / neutral placeholders.</w:t>
      </w:r>
    </w:p>
    <w:p>
      <w:pPr>
        <w:pStyle w:val="ListBullet"/>
      </w:pPr>
      <w:r>
        <w:rPr>
          <w:b/>
        </w:rPr>
        <w:t xml:space="preserve">Corrections to v1.2 text: </w:t>
      </w:r>
      <w:r>
        <w:t xml:space="preserve">Plus Flow Radar events arrive on a 30-minute delay (v1.2 said real-time / ~15 min); AI Portfolio's 24h change is a real weighted figure (v1.2 called it fabricated); Watchlist roster is 5 assets, not 10.</w:t>
      </w:r>
    </w:p>
    <w:p>
      <w:pPr>
        <w:pStyle w:val="ListBullet"/>
      </w:pPr>
      <w:r>
        <w:rPr>
          <w:b/>
        </w:rPr>
        <w:t xml:space="preserve">Not re-audited in this version: </w:t>
      </w:r>
      <w:r>
        <w:rPr>
          <w:i/>
        </w:rPr>
        <w:t xml:space="preserve">Kumami Basic, On-Chain Insights panel thresholds (§2.1–2.8) and the Console regime formulas (§1.1–1.3) were not re-checked against code — treat them as v1.2 content.</w:t>
      </w:r>
    </w:p>
    <w:p>
      <w:pPr>
        <w:pStyle w:val="Heading2"/>
      </w:pPr>
      <w:r>
        <w:t xml:space="preserve">v1.2 — 20 Sep 2026</w:t>
      </w:r>
    </w:p>
    <w:p>
      <w:pPr>
        <w:pStyle w:val="ListBullet"/>
      </w:pPr>
      <w:r>
        <w:t xml:space="preserve">Added Pro §18 Flow Radar (Pro), §19 Watchlist (Pro) and §20 Crypto Address Tracker, built against Rachelle's Kumami Website (6) spec, with what shipped vs. what is deferred.</w:t>
      </w:r>
    </w:p>
    <w:p>
      <w:pPr>
        <w:pStyle w:val="Heading2"/>
      </w:pPr>
      <w:r>
        <w:t xml:space="preserve">v1.1 — 15 Sep 2026</w:t>
      </w:r>
    </w:p>
    <w:p>
      <w:pPr>
        <w:pStyle w:val="ListBullet"/>
      </w:pPr>
      <w:r>
        <w:t xml:space="preserve">Every feature rewritten into the standard What it is / Where it is / How the user uses it / How we build it format, with live screenshots and admin-panel walkthroughs for all admin-authored content.</w:t>
      </w:r>
    </w:p>
    <w:p>
      <w:pPr>
        <w:pStyle w:val="ListBullet"/>
      </w:pPr>
      <w:r>
        <w:t xml:space="preserve">Product changes in that build: Spot Pulse moved onto the Console preview; Watchlist roster aligned to the 5-asset universe; AI Portfolio wallet import added.</w:t>
      </w:r>
    </w:p>
    <w:p>
      <w:pPr>
        <w:pStyle w:val="Heading2"/>
      </w:pPr>
      <w:r>
        <w:t xml:space="preserve">v1.0 — 13 Sep 2026</w:t>
      </w:r>
    </w:p>
    <w:p>
      <w:pPr>
        <w:pStyle w:val="ListBullet"/>
      </w:pPr>
      <w:r>
        <w:t xml:space="preserve">First full Basic / Plus / Pro specification: every product's data source, API and calculation, written in the same What it is / Data in / How it's calculated style as Rachelle's Kumami Plus sheet.</w:t>
      </w:r>
    </w:p>
    <w:p>
      <w:r>
        <w:br w:type="page"/>
      </w:r>
    </w:p>
    <w:p>
      <w:pPr>
        <w:pStyle w:val="Heading1"/>
      </w:pPr>
      <w:r>
        <w:t>Kumami Basic</w:t>
      </w:r>
    </w:p>
    <w:p>
      <w:pPr/>
      <w:r>
        <w:t>Kumami Basic is the free, always-on tier — the entire onboarding, learning, news, and community surface of the platform. There is no logged-out preview: the whole shell sits behind a Firebase auth gate (WorldProtected), and once inside, every Basic feature is fully open to any authenticated user regardless of premium status. The one exception is News, where individual PRO-flagged articles are visually gated as an upsell into Pro — that is an upsell mechanic layered onto Basic, not a restriction of Basic content itself.</w:t>
      </w:r>
    </w:p>
    <w:p>
      <w:pPr>
        <w:pStyle w:val="Heading2"/>
      </w:pPr>
      <w:r>
        <w:t>1. Home</w:t>
      </w:r>
    </w:p>
    <w:p>
      <w:pPr/>
      <w:r>
        <w:t>The brand story page — not a personalized dashboard.</w:t>
      </w:r>
    </w:p>
    <w:p>
      <w:pPr>
        <w:pStyle w:val="Heading3"/>
      </w:pPr>
      <w:r>
        <w:t>What it is</w:t>
      </w:r>
    </w:p>
    <w:p>
      <w:pPr/>
      <w:r>
        <w:t>The original Kumami marketing/landing page (“About Kumami”), reused verbatim inside the World shell. It is a static composition, not a per-user dashboard: Hero → Ecosystem anchor → Moving tagline → Trending News / Numbers / Blog Updates / FAQ (over a background image) → Partners → Contact → Footer.</w:t>
      </w:r>
    </w:p>
    <w:p>
      <w:pPr>
        <w:pStyle w:val="Heading3"/>
      </w:pPr>
      <w:r>
        <w:t>Where it is</w:t>
      </w:r>
    </w:p>
    <w:p>
      <w:pPr/>
      <w:r>
        <w:t>Tier: visible in all three workspace modes (Basic/Plus/Pro) — not gated to Basic only.</w:t>
      </w:r>
    </w:p>
    <w:p>
      <w:pPr/>
      <w:r>
        <w:t>Nav path: Sidebar → Home. It is the only item that sits outside every collapsible group, directly under the brand logo/workspace switcher — always the first thing in the sidebar regardless of mode.</w:t>
      </w:r>
    </w:p>
    <w:p>
      <w:r>
        <w:drawing>
          <wp:inline xmlns:a="http://schemas.openxmlformats.org/drawingml/2006/main" xmlns:pic="http://schemas.openxmlformats.org/drawingml/2006/picture">
            <wp:extent cx="5760720" cy="3063240"/>
            <wp:docPr id="1" name="Picture 1"/>
            <wp:cNvGraphicFramePr>
              <a:graphicFrameLocks noChangeAspect="1"/>
            </wp:cNvGraphicFramePr>
            <a:graphic>
              <a:graphicData uri="http://schemas.openxmlformats.org/drawingml/2006/picture">
                <pic:pic>
                  <pic:nvPicPr>
                    <pic:cNvPr id="0" name="01-basic-sidebar-home.png"/>
                    <pic:cNvPicPr/>
                  </pic:nvPicPr>
                  <pic:blipFill>
                    <a:blip r:embed="rId9"/>
                    <a:stretch>
                      <a:fillRect/>
                    </a:stretch>
                  </pic:blipFill>
                  <pic:spPr>
                    <a:xfrm>
                      <a:off x="0" y="0"/>
                      <a:ext cx="5760720" cy="3063240"/>
                    </a:xfrm>
                    <a:prstGeom prst="rect"/>
                  </pic:spPr>
                </pic:pic>
              </a:graphicData>
            </a:graphic>
          </wp:inline>
        </w:drawing>
      </w:r>
    </w:p>
    <w:p>
      <w:pPr/>
      <w:r>
        <w:rPr>
          <w:i/>
        </w:rPr>
        <w:t>Figure: Home in Basic mode — sidebar shows Home as a standalone top item; page shows Hero → Ecosystem → Trending News → Numbers → Our Journey → FAQ → Partners → Contact → Footer.</w:t>
      </w:r>
    </w:p>
    <w:p>
      <w:pPr>
        <w:pStyle w:val="Heading3"/>
      </w:pPr>
      <w:r>
        <w:t>How the user uses it</w:t>
      </w:r>
    </w:p>
    <w:p>
      <w:pPr/>
      <w:r>
        <w:t>Land here after logging in, or click “Home” anytime to return. It's a scroll-and-read page: click “Learn More” in the hero to jump to the Ecosystem anchor; use the Trending News carousel's ‹ › arrows to browse recent headlines and click “Read More” to open the full article; click any Partner logo to open that partner's external site in a new tab; click “See more” under Our Journey to open the full Blogs grid; click a FAQ question to expand its answer; click “Join Our Community” to open the community CTA.</w:t>
      </w:r>
    </w:p>
    <w:p>
      <w:pPr>
        <w:pStyle w:val="Heading3"/>
      </w:pPr>
      <w:r>
        <w:t>How we build it</w:t>
      </w:r>
    </w:p>
    <w:p>
      <w:pPr>
        <w:pStyle w:val="Heading4"/>
      </w:pPr>
      <w:r>
        <w:t>Via API</w:t>
      </w:r>
    </w:p>
    <w:p>
      <w:pPr/>
      <w:r>
        <w:t>None for the page shell itself — it's a stack of legacy marketing components with no page-level fetch.</w:t>
      </w:r>
    </w:p>
    <w:p>
      <w:pPr>
        <w:pStyle w:val="Heading4"/>
      </w:pPr>
      <w:r>
        <w:t>Via Admin Dashboard (manual)</w:t>
      </w:r>
    </w:p>
    <w:p>
      <w:pPr/>
      <w:r>
        <w:t>Its live sub-sections are each authored separately:</w:t>
      </w:r>
    </w:p>
    <w:p>
      <w:pPr>
        <w:pStyle w:val="ListBullet"/>
      </w:pPr>
      <w:r>
        <w:t>Trending News strip — reads Firestore news (same collection/admin flow as News Portal, below).</w:t>
      </w:r>
    </w:p>
    <w:p>
      <w:pPr>
        <w:pStyle w:val="ListBullet"/>
      </w:pPr>
      <w:r>
        <w:t>Our Journey blog highlight — reads Firestore blogs, authored at Content → Blog → Publish Blog (/admin/blog): Title, Read Time, Thumbnail/Detail images, Summary, Content Section 1/2 → Publish Blog or Save as Draft. Edit via Content → Blog → Edit Blog; drafts at Content → Blog → Blog Drafts.</w:t>
      </w:r>
    </w:p>
    <w:p>
      <w:pPr>
        <w:pStyle w:val="ListBullet"/>
      </w:pPr>
      <w:r>
        <w:t>Partners strip — reads Firestore homepage_partners, authored at Management → Partners → Homepage Partners (/admin/homepage-partners) — a curated subset of the full directory (Management → Partners → All Partners).</w:t>
      </w:r>
    </w:p>
    <w:p>
      <w:pPr/>
      <w:r>
        <w:t>Computed, not manually entered: the Total Users / Partners counters run a live Firestore .count() aggregation over the users and all_partners collections at request time — always the real current count, never hand-typed.</w:t>
      </w:r>
    </w:p>
    <w:p>
      <w:r>
        <w:drawing>
          <wp:inline xmlns:a="http://schemas.openxmlformats.org/drawingml/2006/main" xmlns:pic="http://schemas.openxmlformats.org/drawingml/2006/picture">
            <wp:extent cx="5760720" cy="3063240"/>
            <wp:docPr id="2" name="Picture 2"/>
            <wp:cNvGraphicFramePr>
              <a:graphicFrameLocks noChangeAspect="1"/>
            </wp:cNvGraphicFramePr>
            <a:graphic>
              <a:graphicData uri="http://schemas.openxmlformats.org/drawingml/2006/picture">
                <pic:pic>
                  <pic:nvPicPr>
                    <pic:cNvPr id="0" name="09-admin-publish-news.png"/>
                    <pic:cNvPicPr/>
                  </pic:nvPicPr>
                  <pic:blipFill>
                    <a:blip r:embed="rId10"/>
                    <a:stretch>
                      <a:fillRect/>
                    </a:stretch>
                  </pic:blipFill>
                  <pic:spPr>
                    <a:xfrm>
                      <a:off x="0" y="0"/>
                      <a:ext cx="5760720" cy="3063240"/>
                    </a:xfrm>
                    <a:prstGeom prst="rect"/>
                  </pic:spPr>
                </pic:pic>
              </a:graphicData>
            </a:graphic>
          </wp:inline>
        </w:drawing>
      </w:r>
    </w:p>
    <w:p>
      <w:pPr/>
      <w:r>
        <w:rPr>
          <w:i/>
        </w:rPr>
        <w:t>Figure: Content → News → Publish News — the admin form behind the Trending News strip and the News Portal below.</w:t>
      </w:r>
    </w:p>
    <w:p>
      <w:r>
        <w:drawing>
          <wp:inline xmlns:a="http://schemas.openxmlformats.org/drawingml/2006/main" xmlns:pic="http://schemas.openxmlformats.org/drawingml/2006/picture">
            <wp:extent cx="5760720" cy="3063240"/>
            <wp:docPr id="3" name="Picture 3"/>
            <wp:cNvGraphicFramePr>
              <a:graphicFrameLocks noChangeAspect="1"/>
            </wp:cNvGraphicFramePr>
            <a:graphic>
              <a:graphicData uri="http://schemas.openxmlformats.org/drawingml/2006/picture">
                <pic:pic>
                  <pic:nvPicPr>
                    <pic:cNvPr id="0" name="13-admin-publish-blog.png"/>
                    <pic:cNvPicPr/>
                  </pic:nvPicPr>
                  <pic:blipFill>
                    <a:blip r:embed="rId11"/>
                    <a:stretch>
                      <a:fillRect/>
                    </a:stretch>
                  </pic:blipFill>
                  <pic:spPr>
                    <a:xfrm>
                      <a:off x="0" y="0"/>
                      <a:ext cx="5760720" cy="3063240"/>
                    </a:xfrm>
                    <a:prstGeom prst="rect"/>
                  </pic:spPr>
                </pic:pic>
              </a:graphicData>
            </a:graphic>
          </wp:inline>
        </w:drawing>
      </w:r>
    </w:p>
    <w:p>
      <w:pPr/>
      <w:r>
        <w:rPr>
          <w:i/>
        </w:rPr>
        <w:t>Figure: Content → Blog → Publish Blog — the admin form behind Home's Our Journey highlight.</w:t>
      </w:r>
    </w:p>
    <w:p>
      <w:pPr>
        <w:pStyle w:val="Heading2"/>
      </w:pPr>
      <w:r>
        <w:t>2. News Portal</w:t>
      </w:r>
    </w:p>
    <w:p>
      <w:pPr/>
      <w:r>
        <w:t>The daily crypto/Web3 news feed — hero, latest, and a river of stories.</w:t>
      </w:r>
    </w:p>
    <w:p>
      <w:pPr>
        <w:pStyle w:val="Heading3"/>
      </w:pPr>
      <w:r>
        <w:t>What it is</w:t>
      </w:r>
    </w:p>
    <w:p>
      <w:pPr/>
      <w:r>
        <w:t>The main news feed: a live ticker, a hero story, a ‘Latest’ aside, an upsell banner into Plus/Pro, and a river of further articles.</w:t>
      </w:r>
    </w:p>
    <w:p>
      <w:pPr>
        <w:pStyle w:val="Heading3"/>
      </w:pPr>
      <w:r>
        <w:t>Where it is</w:t>
      </w:r>
    </w:p>
    <w:p>
      <w:pPr/>
      <w:r>
        <w:t>Tier: Basic.</w:t>
      </w:r>
    </w:p>
    <w:p>
      <w:pPr/>
      <w:r>
        <w:t>Nav path: Sidebar → News Portal (standalone item, directly below Home — not inside a group).</w:t>
      </w:r>
    </w:p>
    <w:p>
      <w:r>
        <w:drawing>
          <wp:inline xmlns:a="http://schemas.openxmlformats.org/drawingml/2006/main" xmlns:pic="http://schemas.openxmlformats.org/drawingml/2006/picture">
            <wp:extent cx="5760720" cy="3063240"/>
            <wp:docPr id="4" name="Picture 4"/>
            <wp:cNvGraphicFramePr>
              <a:graphicFrameLocks noChangeAspect="1"/>
            </wp:cNvGraphicFramePr>
            <a:graphic>
              <a:graphicData uri="http://schemas.openxmlformats.org/drawingml/2006/picture">
                <pic:pic>
                  <pic:nvPicPr>
                    <pic:cNvPr id="0" name="02-news-portal.png"/>
                    <pic:cNvPicPr/>
                  </pic:nvPicPr>
                  <pic:blipFill>
                    <a:blip r:embed="rId12"/>
                    <a:stretch>
                      <a:fillRect/>
                    </a:stretch>
                  </pic:blipFill>
                  <pic:spPr>
                    <a:xfrm>
                      <a:off x="0" y="0"/>
                      <a:ext cx="5760720" cy="3063240"/>
                    </a:xfrm>
                    <a:prstGeom prst="rect"/>
                  </pic:spPr>
                </pic:pic>
              </a:graphicData>
            </a:graphic>
          </wp:inline>
        </w:drawing>
      </w:r>
    </w:p>
    <w:p>
      <w:pPr/>
      <w:r>
        <w:rPr>
          <w:i/>
        </w:rPr>
        <w:t>Figure: News Portal in Basic mode — live ticker, category pills, hero story, Latest aside.</w:t>
      </w:r>
    </w:p>
    <w:p>
      <w:pPr>
        <w:pStyle w:val="Heading3"/>
      </w:pPr>
      <w:r>
        <w:t>How the user uses it</w:t>
      </w:r>
    </w:p>
    <w:p>
      <w:pPr/>
      <w:r>
        <w:t>Read the live price ticker at the top; click a category pill (All / Market / Crypto / News / Tech / Wallet / Funding / Memes / Most Popular — pills are generated from whatever categories actually exist in Firestore, not hardcoded) to filter the river; click the hero image or headline, or any Latest/river card, to open the full article at /world/news/[id]; scroll past the “MORE NEWS” river grid and click “View all news” for the full paginated list. Articles flagged Pro in Firestore show a dimmed lock veil — clicking it routes to /world/pro instead of opening the article.</w:t>
      </w:r>
    </w:p>
    <w:p>
      <w:pPr>
        <w:pStyle w:val="Heading3"/>
      </w:pPr>
      <w:r>
        <w:t>How we build it</w:t>
      </w:r>
    </w:p>
    <w:p>
      <w:pPr>
        <w:pStyle w:val="Heading4"/>
      </w:pPr>
      <w:r>
        <w:t>Via Admin Dashboard (manual)</w:t>
      </w:r>
    </w:p>
    <w:p>
      <w:pPr/>
      <w:r>
        <w:t>Firestore news, authored at Content → News → Publish News (/admin/news): Title, Author Name (defaults to your email if left empty), Category (dropdown), tick “Premium Article” to Pro-gate it, upload a News Image, comma-separated Tags, Summary, optional “Kumami Insight” callout box, then the main Content body → Publish. Edit existing articles via Content → News → Edit News (/admin/edit-news); unpublished work sits in Content → News → News Drafts (/admin/news-drafts).</w:t>
      </w:r>
    </w:p>
    <w:p>
      <w:pPr>
        <w:pStyle w:val="Heading4"/>
      </w:pPr>
      <w:r>
        <w:t>Via API</w:t>
      </w:r>
    </w:p>
    <w:p>
      <w:pPr/>
      <w:r>
        <w:t>Only the live ticker — 10 coins (BTC, ETH, BNB, SOL, XRP, KAIA, PENGU, SUI, DOGE, POL) pushed over a WebSocket (wss://tickerworker.kumamiworldapp.workers.dev/), a Cloudflare Worker proxying Binance's real-time @ticker stream — push-based, not a polling REST call, auto-reconnects 1s after any drop.</w:t>
      </w:r>
    </w:p>
    <w:p>
      <w:r>
        <w:drawing>
          <wp:inline xmlns:a="http://schemas.openxmlformats.org/drawingml/2006/main" xmlns:pic="http://schemas.openxmlformats.org/drawingml/2006/picture">
            <wp:extent cx="5760720" cy="3063240"/>
            <wp:docPr id="5" name="Picture 5"/>
            <wp:cNvGraphicFramePr>
              <a:graphicFrameLocks noChangeAspect="1"/>
            </wp:cNvGraphicFramePr>
            <a:graphic>
              <a:graphicData uri="http://schemas.openxmlformats.org/drawingml/2006/picture">
                <pic:pic>
                  <pic:nvPicPr>
                    <pic:cNvPr id="0" name="09-admin-publish-news.png"/>
                    <pic:cNvPicPr/>
                  </pic:nvPicPr>
                  <pic:blipFill>
                    <a:blip r:embed="rId10"/>
                    <a:stretch>
                      <a:fillRect/>
                    </a:stretch>
                  </pic:blipFill>
                  <pic:spPr>
                    <a:xfrm>
                      <a:off x="0" y="0"/>
                      <a:ext cx="5760720" cy="3063240"/>
                    </a:xfrm>
                    <a:prstGeom prst="rect"/>
                  </pic:spPr>
                </pic:pic>
              </a:graphicData>
            </a:graphic>
          </wp:inline>
        </w:drawing>
      </w:r>
    </w:p>
    <w:p>
      <w:pPr/>
      <w:r>
        <w:rPr>
          <w:i/>
        </w:rPr>
        <w:t>Figure: Content → News → Publish News — the exact form used to author every News Portal article.</w:t>
      </w:r>
    </w:p>
    <w:p>
      <w:pPr>
        <w:pStyle w:val="Heading2"/>
      </w:pPr>
      <w:r>
        <w:t>3. Education — My Journey &amp; My Courses</w:t>
      </w:r>
    </w:p>
    <w:p>
      <w:pPr/>
      <w:r>
        <w:t>Two tabs, one underlying engine: a first-timer intro that becomes a personal dashboard once you start.</w:t>
      </w:r>
    </w:p>
    <w:p>
      <w:pPr>
        <w:pStyle w:val="Heading3"/>
      </w:pPr>
      <w:r>
        <w:t>What it is</w:t>
      </w:r>
    </w:p>
    <w:p>
      <w:pPr/>
      <w:r>
        <w:t>Basic's learning system: 5 fixed levels totaling 65 lessons (~19 hours), each tracked per-user at chapter and section granularity. ‘My Journey’ is a smart tab — first-time visitors see an intro/level-picker; anyone with any progress sees the Dashboard experience instead, automatically, with no separate setting to toggle.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w:t>
            </w:r>
          </w:p>
        </w:tc>
        <w:tc>
          <w:tcPr>
            <w:tcW w:type="dxa" w:w="1440"/>
          </w:tcPr>
          <w:p>
            <w:r>
              <w:t>Tag</w:t>
            </w:r>
          </w:p>
        </w:tc>
        <w:tc>
          <w:tcPr>
            <w:tcW w:type="dxa" w:w="1440"/>
          </w:tcPr>
          <w:p>
            <w:r>
              <w:t>Title</w:t>
            </w:r>
          </w:p>
        </w:tc>
        <w:tc>
          <w:tcPr>
            <w:tcW w:type="dxa" w:w="1440"/>
          </w:tcPr>
          <w:p>
            <w:r>
              <w:t>Badge</w:t>
            </w:r>
          </w:p>
        </w:tc>
        <w:tc>
          <w:tcPr>
            <w:tcW w:type="dxa" w:w="1440"/>
          </w:tcPr>
          <w:p>
            <w:r>
              <w:t>Duration</w:t>
            </w:r>
          </w:p>
        </w:tc>
        <w:tc>
          <w:tcPr>
            <w:tcW w:type="dxa" w:w="1440"/>
          </w:tcPr>
          <w:p>
            <w:r>
              <w:t>Chapters</w:t>
            </w:r>
          </w:p>
        </w:tc>
      </w:tr>
      <w:tr>
        <w:tc>
          <w:tcPr>
            <w:tcW w:type="dxa" w:w="1440"/>
          </w:tcPr>
          <w:p>
            <w:r>
              <w:t>1</w:t>
            </w:r>
          </w:p>
        </w:tc>
        <w:tc>
          <w:tcPr>
            <w:tcW w:type="dxa" w:w="1440"/>
          </w:tcPr>
          <w:p>
            <w:r>
              <w:t>Beginner</w:t>
            </w:r>
          </w:p>
        </w:tc>
        <w:tc>
          <w:tcPr>
            <w:tcW w:type="dxa" w:w="1440"/>
          </w:tcPr>
          <w:p>
            <w:r>
              <w:t>Start Here</w:t>
            </w:r>
          </w:p>
        </w:tc>
        <w:tc>
          <w:tcPr>
            <w:tcW w:type="dxa" w:w="1440"/>
          </w:tcPr>
          <w:p>
            <w:r>
              <w:t>First Steps</w:t>
            </w:r>
          </w:p>
        </w:tc>
        <w:tc>
          <w:tcPr>
            <w:tcW w:type="dxa" w:w="1440"/>
          </w:tcPr>
          <w:p>
            <w:r>
              <w:t>2h 10m</w:t>
            </w:r>
          </w:p>
        </w:tc>
        <w:tc>
          <w:tcPr>
            <w:tcW w:type="dxa" w:w="1440"/>
          </w:tcPr>
          <w:p>
            <w:r>
              <w:t>7</w:t>
            </w:r>
          </w:p>
        </w:tc>
      </w:tr>
      <w:tr>
        <w:tc>
          <w:tcPr>
            <w:tcW w:type="dxa" w:w="1440"/>
          </w:tcPr>
          <w:p>
            <w:r>
              <w:t>2</w:t>
            </w:r>
          </w:p>
        </w:tc>
        <w:tc>
          <w:tcPr>
            <w:tcW w:type="dxa" w:w="1440"/>
          </w:tcPr>
          <w:p>
            <w:r>
              <w:t>Elementary</w:t>
            </w:r>
          </w:p>
        </w:tc>
        <w:tc>
          <w:tcPr>
            <w:tcW w:type="dxa" w:w="1440"/>
          </w:tcPr>
          <w:p>
            <w:r>
              <w:t>Understand What You Just Bought</w:t>
            </w:r>
          </w:p>
        </w:tc>
        <w:tc>
          <w:tcPr>
            <w:tcW w:type="dxa" w:w="1440"/>
          </w:tcPr>
          <w:p>
            <w:r>
              <w:t>Under the Hood</w:t>
            </w:r>
          </w:p>
        </w:tc>
        <w:tc>
          <w:tcPr>
            <w:tcW w:type="dxa" w:w="1440"/>
          </w:tcPr>
          <w:p>
            <w:r>
              <w:t>3h 40m</w:t>
            </w:r>
          </w:p>
        </w:tc>
        <w:tc>
          <w:tcPr>
            <w:tcW w:type="dxa" w:w="1440"/>
          </w:tcPr>
          <w:p>
            <w:r>
              <w:t>12</w:t>
            </w:r>
          </w:p>
        </w:tc>
      </w:tr>
      <w:tr>
        <w:tc>
          <w:tcPr>
            <w:tcW w:type="dxa" w:w="1440"/>
          </w:tcPr>
          <w:p>
            <w:r>
              <w:t>3</w:t>
            </w:r>
          </w:p>
        </w:tc>
        <w:tc>
          <w:tcPr>
            <w:tcW w:type="dxa" w:w="1440"/>
          </w:tcPr>
          <w:p>
            <w:r>
              <w:t>Intermediate</w:t>
            </w:r>
          </w:p>
        </w:tc>
        <w:tc>
          <w:tcPr>
            <w:tcW w:type="dxa" w:w="1440"/>
          </w:tcPr>
          <w:p>
            <w:r>
              <w:t>Learn to Trade</w:t>
            </w:r>
          </w:p>
        </w:tc>
        <w:tc>
          <w:tcPr>
            <w:tcW w:type="dxa" w:w="1440"/>
          </w:tcPr>
          <w:p>
            <w:r>
              <w:t>Sharp Eye</w:t>
            </w:r>
          </w:p>
        </w:tc>
        <w:tc>
          <w:tcPr>
            <w:tcW w:type="dxa" w:w="1440"/>
          </w:tcPr>
          <w:p>
            <w:r>
              <w:t>5h 05m</w:t>
            </w:r>
          </w:p>
        </w:tc>
        <w:tc>
          <w:tcPr>
            <w:tcW w:type="dxa" w:w="1440"/>
          </w:tcPr>
          <w:p>
            <w:r>
              <w:t>17</w:t>
            </w:r>
          </w:p>
        </w:tc>
      </w:tr>
      <w:tr>
        <w:tc>
          <w:tcPr>
            <w:tcW w:type="dxa" w:w="1440"/>
          </w:tcPr>
          <w:p>
            <w:r>
              <w:t>4</w:t>
            </w:r>
          </w:p>
        </w:tc>
        <w:tc>
          <w:tcPr>
            <w:tcW w:type="dxa" w:w="1440"/>
          </w:tcPr>
          <w:p>
            <w:r>
              <w:t>Advanced</w:t>
            </w:r>
          </w:p>
        </w:tc>
        <w:tc>
          <w:tcPr>
            <w:tcW w:type="dxa" w:w="1440"/>
          </w:tcPr>
          <w:p>
            <w:r>
              <w:t>Think Like an Investor</w:t>
            </w:r>
          </w:p>
        </w:tc>
        <w:tc>
          <w:tcPr>
            <w:tcW w:type="dxa" w:w="1440"/>
          </w:tcPr>
          <w:p>
            <w:r>
              <w:t>Market Mind</w:t>
            </w:r>
          </w:p>
        </w:tc>
        <w:tc>
          <w:tcPr>
            <w:tcW w:type="dxa" w:w="1440"/>
          </w:tcPr>
          <w:p>
            <w:r>
              <w:t>3h 55m</w:t>
            </w:r>
          </w:p>
        </w:tc>
        <w:tc>
          <w:tcPr>
            <w:tcW w:type="dxa" w:w="1440"/>
          </w:tcPr>
          <w:p>
            <w:r>
              <w:t>12</w:t>
            </w:r>
          </w:p>
        </w:tc>
      </w:tr>
      <w:tr>
        <w:tc>
          <w:tcPr>
            <w:tcW w:type="dxa" w:w="1440"/>
          </w:tcPr>
          <w:p>
            <w:r>
              <w:t>5</w:t>
            </w:r>
          </w:p>
        </w:tc>
        <w:tc>
          <w:tcPr>
            <w:tcW w:type="dxa" w:w="1440"/>
          </w:tcPr>
          <w:p>
            <w:r>
              <w:t>Expert</w:t>
            </w:r>
          </w:p>
        </w:tc>
        <w:tc>
          <w:tcPr>
            <w:tcW w:type="dxa" w:w="1440"/>
          </w:tcPr>
          <w:p>
            <w:r>
              <w:t>Go Deeper</w:t>
            </w:r>
          </w:p>
        </w:tc>
        <w:tc>
          <w:tcPr>
            <w:tcW w:type="dxa" w:w="1440"/>
          </w:tcPr>
          <w:p>
            <w:r>
              <w:t>Web3 Native</w:t>
            </w:r>
          </w:p>
        </w:tc>
        <w:tc>
          <w:tcPr>
            <w:tcW w:type="dxa" w:w="1440"/>
          </w:tcPr>
          <w:p>
            <w:r>
              <w:t>4h 20m</w:t>
            </w:r>
          </w:p>
        </w:tc>
        <w:tc>
          <w:tcPr>
            <w:tcW w:type="dxa" w:w="1440"/>
          </w:tcPr>
          <w:p>
            <w:r>
              <w:t>12</w:t>
            </w:r>
          </w:p>
        </w:tc>
      </w:tr>
    </w:tbl>
    <w:p>
      <w:pPr>
        <w:pStyle w:val="Heading3"/>
      </w:pPr>
      <w:r>
        <w:t>Where it is</w:t>
      </w:r>
    </w:p>
    <w:p>
      <w:pPr/>
      <w:r>
        <w:t>Tier: Basic.</w:t>
      </w:r>
    </w:p>
    <w:p>
      <w:pPr/>
      <w:r>
        <w:t>Nav path: Sidebar → Education (collapsible group) → My Journey, or Sidebar → Education → My Courses.</w:t>
      </w:r>
    </w:p>
    <w:p>
      <w:r>
        <w:drawing>
          <wp:inline xmlns:a="http://schemas.openxmlformats.org/drawingml/2006/main" xmlns:pic="http://schemas.openxmlformats.org/drawingml/2006/picture">
            <wp:extent cx="5760720" cy="3063240"/>
            <wp:docPr id="6" name="Picture 6"/>
            <wp:cNvGraphicFramePr>
              <a:graphicFrameLocks noChangeAspect="1"/>
            </wp:cNvGraphicFramePr>
            <a:graphic>
              <a:graphicData uri="http://schemas.openxmlformats.org/drawingml/2006/picture">
                <pic:pic>
                  <pic:nvPicPr>
                    <pic:cNvPr id="0" name="03-education-journey-dashboard.png"/>
                    <pic:cNvPicPr/>
                  </pic:nvPicPr>
                  <pic:blipFill>
                    <a:blip r:embed="rId13"/>
                    <a:stretch>
                      <a:fillRect/>
                    </a:stretch>
                  </pic:blipFill>
                  <pic:spPr>
                    <a:xfrm>
                      <a:off x="0" y="0"/>
                      <a:ext cx="5760720" cy="3063240"/>
                    </a:xfrm>
                    <a:prstGeom prst="rect"/>
                  </pic:spPr>
                </pic:pic>
              </a:graphicData>
            </a:graphic>
          </wp:inline>
        </w:drawing>
      </w:r>
    </w:p>
    <w:p>
      <w:pPr/>
      <w:r>
        <w:rPr>
          <w:i/>
        </w:rPr>
        <w:t>Figure: My Journey, returning-user Dashboard state — welcome banner, Continue Learning card, stats, learning history, achievements.</w:t>
      </w:r>
    </w:p>
    <w:p>
      <w:r>
        <w:drawing>
          <wp:inline xmlns:a="http://schemas.openxmlformats.org/drawingml/2006/main" xmlns:pic="http://schemas.openxmlformats.org/drawingml/2006/picture">
            <wp:extent cx="5760720" cy="3063240"/>
            <wp:docPr id="7" name="Picture 7"/>
            <wp:cNvGraphicFramePr>
              <a:graphicFrameLocks noChangeAspect="1"/>
            </wp:cNvGraphicFramePr>
            <a:graphic>
              <a:graphicData uri="http://schemas.openxmlformats.org/drawingml/2006/picture">
                <pic:pic>
                  <pic:nvPicPr>
                    <pic:cNvPr id="0" name="04-education-my-courses.png"/>
                    <pic:cNvPicPr/>
                  </pic:nvPicPr>
                  <pic:blipFill>
                    <a:blip r:embed="rId14"/>
                    <a:stretch>
                      <a:fillRect/>
                    </a:stretch>
                  </pic:blipFill>
                  <pic:spPr>
                    <a:xfrm>
                      <a:off x="0" y="0"/>
                      <a:ext cx="5760720" cy="3063240"/>
                    </a:xfrm>
                    <a:prstGeom prst="rect"/>
                  </pic:spPr>
                </pic:pic>
              </a:graphicData>
            </a:graphic>
          </wp:inline>
        </w:drawing>
      </w:r>
    </w:p>
    <w:p>
      <w:pPr/>
      <w:r>
        <w:rPr>
          <w:i/>
        </w:rPr>
        <w:t>Figure: My Courses, Level 1 detail — progress bar, Overview/Details/Instructor/FAQ tabs, chapter accordion with per-section Read checklist.</w:t>
      </w:r>
    </w:p>
    <w:p>
      <w:pPr>
        <w:pStyle w:val="Heading3"/>
      </w:pPr>
      <w:r>
        <w:t>How the user uses it</w:t>
      </w:r>
    </w:p>
    <w:p>
      <w:pPr/>
      <w:r>
        <w:t>First-time state (My Journey): click a level card, or the “Start Level 1” CTA, to begin. Returning state (My Journey): the same tab now shows a Dashboard — click “Resume chapter” on the Continue Learning card to jump straight back into the exact chapter/section left off, or “View level overview” to see the full level. My Courses: pick a level (via the level cards or the ?level=1-5 URL), work through the Overview tab's chapter accordion, click “Read” on each section to mark it complete, and switch to Details / Instructor / FAQ for the level blurb, instructor bio, and the FAQ (which states plainly that all 5 levels are completely free).</w:t>
      </w:r>
    </w:p>
    <w:p>
      <w:pPr>
        <w:pStyle w:val="Heading3"/>
      </w:pPr>
      <w:r>
        <w:t>How we build it</w:t>
      </w:r>
    </w:p>
    <w:p>
      <w:pPr>
        <w:pStyle w:val="Heading4"/>
      </w:pPr>
      <w:r>
        <w:t>Via Admin Dashboard (manual)</w:t>
      </w:r>
    </w:p>
    <w:p>
      <w:pPr/>
      <w:r>
        <w:t>Chapter content lives in Firestore education_articles, authored at Content → Education → Publish Education (/admin/education): choose Level (dropdown, Level 1-5) and Chapter position (0-based index — sets ordering within that level; the article title becomes the chapter name), Author, Read time, tick “Featured lesson” or “Coming soon” (placeholder, no content yet) as needed, Blurb (1-2 sentence card summary), Description (SEO meta), Thumbnail, then build the body in Content Sections using either the Classic or TipTap editor — a Live Preview panel mirrors the breadcrumb and content live as you type. Edit via Content → Education → Edit Education; drafts sit at Content → Education → Education Drafts.</w:t>
      </w:r>
    </w:p>
    <w:p>
      <w:pPr>
        <w:pStyle w:val="Heading4"/>
      </w:pPr>
      <w:r>
        <w:t>Via API</w:t>
      </w:r>
    </w:p>
    <w:p>
      <w:pPr/>
      <w:r>
        <w:t>None — progress is per-user Firestore state, not an external fetch. Stored at users/{uid}/education_progress/{levelNum} (falls back to localStorage when logged out). Progress % is section-based, not chapter-based: pct = round(completedSections / totalSections × 100), summed per level and overall on the Dashboard.</w:t>
      </w:r>
    </w:p>
    <w:p>
      <w:r>
        <w:drawing>
          <wp:inline xmlns:a="http://schemas.openxmlformats.org/drawingml/2006/main" xmlns:pic="http://schemas.openxmlformats.org/drawingml/2006/picture">
            <wp:extent cx="5760720" cy="3063240"/>
            <wp:docPr id="8" name="Picture 8"/>
            <wp:cNvGraphicFramePr>
              <a:graphicFrameLocks noChangeAspect="1"/>
            </wp:cNvGraphicFramePr>
            <a:graphic>
              <a:graphicData uri="http://schemas.openxmlformats.org/drawingml/2006/picture">
                <pic:pic>
                  <pic:nvPicPr>
                    <pic:cNvPr id="0" name="10-admin-publish-education.png"/>
                    <pic:cNvPicPr/>
                  </pic:nvPicPr>
                  <pic:blipFill>
                    <a:blip r:embed="rId15"/>
                    <a:stretch>
                      <a:fillRect/>
                    </a:stretch>
                  </pic:blipFill>
                  <pic:spPr>
                    <a:xfrm>
                      <a:off x="0" y="0"/>
                      <a:ext cx="5760720" cy="3063240"/>
                    </a:xfrm>
                    <a:prstGeom prst="rect"/>
                  </pic:spPr>
                </pic:pic>
              </a:graphicData>
            </a:graphic>
          </wp:inline>
        </w:drawing>
      </w:r>
    </w:p>
    <w:p>
      <w:pPr/>
      <w:r>
        <w:rPr>
          <w:i/>
        </w:rPr>
        <w:t>Figure: Content → Education → Publish Education — Level dropdown, Chapter position, Content Sections editor with Live Preview.</w:t>
      </w:r>
    </w:p>
    <w:p>
      <w:pPr>
        <w:pStyle w:val="Heading2"/>
      </w:pPr>
      <w:r>
        <w:t>4. Cryptopedia — Tokenpedia &amp; Glossary</w:t>
      </w:r>
    </w:p>
    <w:p>
      <w:pPr/>
      <w:r>
        <w:t>An onchain asset directory and a plain-language glossary, unified under one capsule selector.</w:t>
      </w:r>
    </w:p>
    <w:p>
      <w:pPr>
        <w:pStyle w:val="Heading3"/>
      </w:pPr>
      <w:r>
        <w:t>What it is</w:t>
      </w:r>
    </w:p>
    <w:p>
      <w:pPr/>
      <w:r>
        <w:t>A reference-desk tab with an underline-style capsule toggle between two views: Tokenpedia (?view=tokenpedia, default) and Glossary (?view=glossary).</w:t>
      </w:r>
    </w:p>
    <w:p>
      <w:pPr>
        <w:pStyle w:val="Heading3"/>
      </w:pPr>
      <w:r>
        <w:t>Where it is</w:t>
      </w:r>
    </w:p>
    <w:p>
      <w:pPr/>
      <w:r>
        <w:t>Tier: Basic.</w:t>
      </w:r>
    </w:p>
    <w:p>
      <w:pPr/>
      <w:r>
        <w:t>Nav path: Sidebar → Education (group) → Cryptopedia — its own item alongside My Journey/My Courses inside the same group.</w:t>
      </w:r>
    </w:p>
    <w:p>
      <w:r>
        <w:drawing>
          <wp:inline xmlns:a="http://schemas.openxmlformats.org/drawingml/2006/main" xmlns:pic="http://schemas.openxmlformats.org/drawingml/2006/picture">
            <wp:extent cx="5760720" cy="3063240"/>
            <wp:docPr id="9" name="Picture 9"/>
            <wp:cNvGraphicFramePr>
              <a:graphicFrameLocks noChangeAspect="1"/>
            </wp:cNvGraphicFramePr>
            <a:graphic>
              <a:graphicData uri="http://schemas.openxmlformats.org/drawingml/2006/picture">
                <pic:pic>
                  <pic:nvPicPr>
                    <pic:cNvPr id="0" name="05-cryptopedia-tokenpedia.png"/>
                    <pic:cNvPicPr/>
                  </pic:nvPicPr>
                  <pic:blipFill>
                    <a:blip r:embed="rId16"/>
                    <a:stretch>
                      <a:fillRect/>
                    </a:stretch>
                  </pic:blipFill>
                  <pic:spPr>
                    <a:xfrm>
                      <a:off x="0" y="0"/>
                      <a:ext cx="5760720" cy="3063240"/>
                    </a:xfrm>
                    <a:prstGeom prst="rect"/>
                  </pic:spPr>
                </pic:pic>
              </a:graphicData>
            </a:graphic>
          </wp:inline>
        </w:drawing>
      </w:r>
    </w:p>
    <w:p>
      <w:pPr/>
      <w:r>
        <w:rPr>
          <w:i/>
        </w:rPr>
        <w:t>Figure: Cryptopedia → Tokenpedia view — card grid of on-chain assets/projects with social links.</w:t>
      </w:r>
    </w:p>
    <w:p>
      <w:r>
        <w:drawing>
          <wp:inline xmlns:a="http://schemas.openxmlformats.org/drawingml/2006/main" xmlns:pic="http://schemas.openxmlformats.org/drawingml/2006/picture">
            <wp:extent cx="5760720" cy="3063240"/>
            <wp:docPr id="10" name="Picture 10"/>
            <wp:cNvGraphicFramePr>
              <a:graphicFrameLocks noChangeAspect="1"/>
            </wp:cNvGraphicFramePr>
            <a:graphic>
              <a:graphicData uri="http://schemas.openxmlformats.org/drawingml/2006/picture">
                <pic:pic>
                  <pic:nvPicPr>
                    <pic:cNvPr id="0" name="06-cryptopedia-glossary.png"/>
                    <pic:cNvPicPr/>
                  </pic:nvPicPr>
                  <pic:blipFill>
                    <a:blip r:embed="rId17"/>
                    <a:stretch>
                      <a:fillRect/>
                    </a:stretch>
                  </pic:blipFill>
                  <pic:spPr>
                    <a:xfrm>
                      <a:off x="0" y="0"/>
                      <a:ext cx="5760720" cy="3063240"/>
                    </a:xfrm>
                    <a:prstGeom prst="rect"/>
                  </pic:spPr>
                </pic:pic>
              </a:graphicData>
            </a:graphic>
          </wp:inline>
        </w:drawing>
      </w:r>
    </w:p>
    <w:p>
      <w:pPr/>
      <w:r>
        <w:rPr>
          <w:i/>
        </w:rPr>
        <w:t>Figure: Cryptopedia → Glossary view — searchable, A–Z indexed term list.</w:t>
      </w:r>
    </w:p>
    <w:p>
      <w:pPr>
        <w:pStyle w:val="Heading3"/>
      </w:pPr>
      <w:r>
        <w:t>How the user uses it</w:t>
      </w:r>
    </w:p>
    <w:p>
      <w:pPr/>
      <w:r>
        <w:t>Land on Tokenpedia by default — click any project card to open its detail page (/world/research/[id]) with its description and X/Discord/Telegram/Website links. Click the “Glossary” capsule to switch views; type in the search box (matches term/definition/category) or click a letter in the A–Z index to jump; click any term to open its detail page (/world/glossary/[id]).</w:t>
      </w:r>
    </w:p>
    <w:p>
      <w:pPr>
        <w:pStyle w:val="Heading3"/>
      </w:pPr>
      <w:r>
        <w:t>How we build it</w:t>
      </w:r>
    </w:p>
    <w:p>
      <w:pPr>
        <w:pStyle w:val="Heading4"/>
      </w:pPr>
      <w:r>
        <w:t>Tokenpedia — Via Admin Dashboard (manual)</w:t>
      </w:r>
    </w:p>
    <w:p>
      <w:pPr/>
      <w:r>
        <w:t>Firestore research_articles, authored at Content → Research → Publish Research (/admin/research): Title, Author, Category (dropdown, e.g. “Web 3 Platform”), Research Image (Main), Short Description, one or more Content Sections, optional Detail Image 2 → Publish. Edit via Content → Research → Edit Research; drafts at Content → Research → Research Drafts.</w:t>
      </w:r>
    </w:p>
    <w:p>
      <w:pPr>
        <w:pStyle w:val="Heading4"/>
      </w:pPr>
      <w:r>
        <w:t>Glossary — Via Code only</w:t>
      </w:r>
    </w:p>
    <w:p>
      <w:pPr/>
      <w:r>
        <w:t>No admin panel today: a fully static file, src/data/glossaryData.ts — 147 hardcoded {id, term, category, definition} entries, no Firestore involved. Adding or editing a term currently requires a developer to change that file and deploy — there is no admin UI for it. Flagged here as a gap if the team wants to manage terms without a developer.</w:t>
      </w:r>
    </w:p>
    <w:p>
      <w:r>
        <w:drawing>
          <wp:inline xmlns:a="http://schemas.openxmlformats.org/drawingml/2006/main" xmlns:pic="http://schemas.openxmlformats.org/drawingml/2006/picture">
            <wp:extent cx="5760720" cy="3063240"/>
            <wp:docPr id="11" name="Picture 11"/>
            <wp:cNvGraphicFramePr>
              <a:graphicFrameLocks noChangeAspect="1"/>
            </wp:cNvGraphicFramePr>
            <a:graphic>
              <a:graphicData uri="http://schemas.openxmlformats.org/drawingml/2006/picture">
                <pic:pic>
                  <pic:nvPicPr>
                    <pic:cNvPr id="0" name="11-admin-publish-research.png"/>
                    <pic:cNvPicPr/>
                  </pic:nvPicPr>
                  <pic:blipFill>
                    <a:blip r:embed="rId18"/>
                    <a:stretch>
                      <a:fillRect/>
                    </a:stretch>
                  </pic:blipFill>
                  <pic:spPr>
                    <a:xfrm>
                      <a:off x="0" y="0"/>
                      <a:ext cx="5760720" cy="3063240"/>
                    </a:xfrm>
                    <a:prstGeom prst="rect"/>
                  </pic:spPr>
                </pic:pic>
              </a:graphicData>
            </a:graphic>
          </wp:inline>
        </w:drawing>
      </w:r>
    </w:p>
    <w:p>
      <w:pPr/>
      <w:r>
        <w:rPr>
          <w:i/>
        </w:rPr>
        <w:t>Figure: Content → Research → Publish Research — the admin form behind every Tokenpedia card.</w:t>
      </w:r>
    </w:p>
    <w:p>
      <w:pPr>
        <w:pStyle w:val="Heading2"/>
      </w:pPr>
      <w:r>
        <w:t>5. AI Labs</w:t>
      </w:r>
    </w:p>
    <w:p>
      <w:pPr/>
      <w:r>
        <w:t>A marketing placeholder for an upcoming AI + Web3 hub — no live tools yet.</w:t>
      </w:r>
    </w:p>
    <w:p>
      <w:pPr>
        <w:pStyle w:val="Heading3"/>
      </w:pPr>
      <w:r>
        <w:t>What it is</w:t>
      </w:r>
    </w:p>
    <w:p>
      <w:pPr/>
      <w:r>
        <w:t>An informational page previewing 3 planned features. 100% static — a hardcoded featureCards array, no Firestore, no API.</w:t>
      </w:r>
    </w:p>
    <w:p>
      <w:pPr>
        <w:pStyle w:val="Heading3"/>
      </w:pPr>
      <w:r>
        <w:t>Where it is</w:t>
      </w:r>
    </w:p>
    <w:p>
      <w:pPr/>
      <w:r>
        <w:t>Tier: Basic.</w:t>
      </w:r>
    </w:p>
    <w:p>
      <w:pPr/>
      <w:r>
        <w:t>Nav path: Sidebar → AI Labs (standalone item, below the Education group).</w:t>
      </w:r>
    </w:p>
    <w:p>
      <w:r>
        <w:drawing>
          <wp:inline xmlns:a="http://schemas.openxmlformats.org/drawingml/2006/main" xmlns:pic="http://schemas.openxmlformats.org/drawingml/2006/picture">
            <wp:extent cx="5760720" cy="3063240"/>
            <wp:docPr id="12" name="Picture 12"/>
            <wp:cNvGraphicFramePr>
              <a:graphicFrameLocks noChangeAspect="1"/>
            </wp:cNvGraphicFramePr>
            <a:graphic>
              <a:graphicData uri="http://schemas.openxmlformats.org/drawingml/2006/picture">
                <pic:pic>
                  <pic:nvPicPr>
                    <pic:cNvPr id="0" name="07-ai-labs.png"/>
                    <pic:cNvPicPr/>
                  </pic:nvPicPr>
                  <pic:blipFill>
                    <a:blip r:embed="rId19"/>
                    <a:stretch>
                      <a:fillRect/>
                    </a:stretch>
                  </pic:blipFill>
                  <pic:spPr>
                    <a:xfrm>
                      <a:off x="0" y="0"/>
                      <a:ext cx="5760720" cy="3063240"/>
                    </a:xfrm>
                    <a:prstGeom prst="rect"/>
                  </pic:spPr>
                </pic:pic>
              </a:graphicData>
            </a:graphic>
          </wp:inline>
        </w:drawing>
      </w:r>
    </w:p>
    <w:p>
      <w:pPr/>
      <w:r>
        <w:rPr>
          <w:i/>
        </w:rPr>
        <w:t>Figure: AI Labs — hero + intro copy, 3 “Coming Soon” feature cards (Module, Workshop, Submission).</w:t>
      </w:r>
    </w:p>
    <w:p>
      <w:pPr>
        <w:pStyle w:val="Heading3"/>
      </w:pPr>
      <w:r>
        <w:t>How the user uses it</w:t>
      </w:r>
    </w:p>
    <w:p>
      <w:pPr/>
      <w:r>
        <w:t>Read-only today — scroll through the hero and the 3 feature cards. Each card's button is disabled and reads “Coming Soon”; there is no interactive action to take yet.</w:t>
      </w:r>
    </w:p>
    <w:p>
      <w:pPr>
        <w:pStyle w:val="Heading3"/>
      </w:pPr>
      <w:r>
        <w:t>How we build it</w:t>
      </w:r>
    </w:p>
    <w:p>
      <w:pPr>
        <w:pStyle w:val="Heading4"/>
      </w:pPr>
      <w:r>
        <w:t>Via Code only</w:t>
      </w:r>
    </w:p>
    <w:p>
      <w:pPr/>
      <w:r>
        <w:t>A hardcoded featureCards array inside the page component. No Firestore, no API, no admin panel — any copy or card change requires a developer to edit the code and deploy.</w:t>
      </w:r>
    </w:p>
    <w:p>
      <w:pPr>
        <w:pStyle w:val="Heading2"/>
      </w:pPr>
      <w:r>
        <w:t>6. Games</w:t>
      </w:r>
    </w:p>
    <w:p>
      <w:pPr/>
      <w:r>
        <w:t>An interactive-learning games catalog with a featured carousel and category rails.</w:t>
      </w:r>
    </w:p>
    <w:p>
      <w:pPr>
        <w:pStyle w:val="Heading3"/>
      </w:pPr>
      <w:r>
        <w:t>What it is</w:t>
      </w:r>
    </w:p>
    <w:p>
      <w:pPr/>
      <w:r>
        <w:t>A games portal: a featured carousel plus category-filtered rails (Most Popular, Free to Play, Coming Soon).</w:t>
      </w:r>
    </w:p>
    <w:p>
      <w:pPr>
        <w:pStyle w:val="Heading3"/>
      </w:pPr>
      <w:r>
        <w:t>Where it is</w:t>
      </w:r>
    </w:p>
    <w:p>
      <w:pPr/>
      <w:r>
        <w:t>Tier: Basic.</w:t>
      </w:r>
    </w:p>
    <w:p>
      <w:pPr/>
      <w:r>
        <w:t>Nav path: Sidebar → Games (standalone item, bottom of the Basic sidebar).</w:t>
      </w:r>
    </w:p>
    <w:p>
      <w:r>
        <w:drawing>
          <wp:inline xmlns:a="http://schemas.openxmlformats.org/drawingml/2006/main" xmlns:pic="http://schemas.openxmlformats.org/drawingml/2006/picture">
            <wp:extent cx="5760720" cy="3063240"/>
            <wp:docPr id="13" name="Picture 13"/>
            <wp:cNvGraphicFramePr>
              <a:graphicFrameLocks noChangeAspect="1"/>
            </wp:cNvGraphicFramePr>
            <a:graphic>
              <a:graphicData uri="http://schemas.openxmlformats.org/drawingml/2006/picture">
                <pic:pic>
                  <pic:nvPicPr>
                    <pic:cNvPr id="0" name="08-games.png"/>
                    <pic:cNvPicPr/>
                  </pic:nvPicPr>
                  <pic:blipFill>
                    <a:blip r:embed="rId20"/>
                    <a:stretch>
                      <a:fillRect/>
                    </a:stretch>
                  </pic:blipFill>
                  <pic:spPr>
                    <a:xfrm>
                      <a:off x="0" y="0"/>
                      <a:ext cx="5760720" cy="3063240"/>
                    </a:xfrm>
                    <a:prstGeom prst="rect"/>
                  </pic:spPr>
                </pic:pic>
              </a:graphicData>
            </a:graphic>
          </wp:inline>
        </w:drawing>
      </w:r>
    </w:p>
    <w:p>
      <w:pPr/>
      <w:r>
        <w:rPr>
          <w:i/>
        </w:rPr>
        <w:t>Figure: Games — featured carousel, search + platform filter, category rails below.</w:t>
      </w:r>
    </w:p>
    <w:p>
      <w:pPr>
        <w:pStyle w:val="Heading3"/>
      </w:pPr>
      <w:r>
        <w:t>How the user uses it</w:t>
      </w:r>
    </w:p>
    <w:p>
      <w:pPr/>
      <w:r>
        <w:t>Browse the auto-advancing featured carousel (every 8s) or use the ‹ › arrows / pagination dots to control it manually; type in “Find Games” to search by title/tagline/genre/platform, or open the filter icon to tick a Platform (PC / Website / Mobile App); scroll the All Games, Most Popular, Free to Play, and Coming Soon rails below; click any game card to open its detail page (/world/games/details?name=&lt;title&gt;); click “View More” on the All Games rail to see the full catalog.</w:t>
      </w:r>
    </w:p>
    <w:p>
      <w:pPr>
        <w:pStyle w:val="Heading3"/>
      </w:pPr>
      <w:r>
        <w:t>How we build it</w:t>
      </w:r>
    </w:p>
    <w:p>
      <w:pPr>
        <w:pStyle w:val="Heading4"/>
      </w:pPr>
      <w:r>
        <w:t>Via Admin Dashboard (manual)</w:t>
      </w:r>
    </w:p>
    <w:p>
      <w:pPr/>
      <w:r>
        <w:t>Firestore games, authored at Content → Games → Publish Games (/admin/games): Game Title, Tagline, Genres (checkboxes), Networks (checkboxes), Platform Types (checkboxes), Categories (Featured / Free to Play / Most Popular / Coming Soon — checkboxes), Released On date, plus multiple image variants (portrait/catalog/landscape/detail/carousel) → Publish. Edit via Content → Games → Edit Games; drafts at Content → Games → Game Drafts.</w:t>
      </w:r>
    </w:p>
    <w:p>
      <w:pPr>
        <w:pStyle w:val="Heading4"/>
      </w:pPr>
      <w:r>
        <w:t>Via API</w:t>
      </w:r>
    </w:p>
    <w:p>
      <w:pPr/>
      <w:r>
        <w:t>None.</w:t>
      </w:r>
    </w:p>
    <w:p>
      <w:r>
        <w:drawing>
          <wp:inline xmlns:a="http://schemas.openxmlformats.org/drawingml/2006/main" xmlns:pic="http://schemas.openxmlformats.org/drawingml/2006/picture">
            <wp:extent cx="5760720" cy="3063240"/>
            <wp:docPr id="14" name="Picture 14"/>
            <wp:cNvGraphicFramePr>
              <a:graphicFrameLocks noChangeAspect="1"/>
            </wp:cNvGraphicFramePr>
            <a:graphic>
              <a:graphicData uri="http://schemas.openxmlformats.org/drawingml/2006/picture">
                <pic:pic>
                  <pic:nvPicPr>
                    <pic:cNvPr id="0" name="12-admin-publish-games.png"/>
                    <pic:cNvPicPr/>
                  </pic:nvPicPr>
                  <pic:blipFill>
                    <a:blip r:embed="rId21"/>
                    <a:stretch>
                      <a:fillRect/>
                    </a:stretch>
                  </pic:blipFill>
                  <pic:spPr>
                    <a:xfrm>
                      <a:off x="0" y="0"/>
                      <a:ext cx="5760720" cy="3063240"/>
                    </a:xfrm>
                    <a:prstGeom prst="rect"/>
                  </pic:spPr>
                </pic:pic>
              </a:graphicData>
            </a:graphic>
          </wp:inline>
        </w:drawing>
      </w:r>
    </w:p>
    <w:p>
      <w:pPr/>
      <w:r>
        <w:rPr>
          <w:i/>
        </w:rPr>
        <w:t>Figure: Content → Games → Publish Games — the admin form behind every Games catalog entry.</w:t>
      </w:r>
    </w:p>
    <w:p>
      <w:pPr>
        <w:pStyle w:val="Heading1"/>
      </w:pPr>
      <w:r>
        <w:t>Kumami Plus</w:t>
      </w:r>
    </w:p>
    <w:p>
      <w:pPr/>
      <w:r>
        <w:t xml:space="preserve">Kumami Plus is the “Advanced” tier — a fixed 5-asset universe (BTC, ETH, SOL, BNB, HYPE) across 7 tools in the sidebar: Console, On-Chain Insights, Flow Radar, Fear &amp; Greed, Calendar, Watchlist and Settings. Every panel runs through the same 4-stage pipeline: (1) live data fetched from the CoinGlass v4 API, (2) cached briefly and shared across panels, (3) fed into a rule engine that converts raw numbers into a verdict + color using fixed thresholds, and (4) rendered. The interpretation layer — not the data — is the product. The cache never serves stale data: if an upstream call fails, that panel shows “No data” rather than old numbers or a $0 / 50 / neutral placeholder. Flow Radar events (on its own tab and on the Console feed) are delayed 30 minutes for non-Pro users (FREE_TIER_DELAY_MINUTES); other panels are not delayed. Pro removes the delay and widens the asset universe (see the Kumami Pro section). Spot Pulse has no tab of its own — it lives inside On-Chain Insights (§2.9) and on the Console; Intelligence was removed from the navigation on 21 Sep 2026 (§7).</w:t>
      </w:r>
    </w:p>
    <w:p>
      <w:pPr>
        <w:pStyle w:val="Heading2"/>
      </w:pPr>
      <w:r>
        <w:t>1. Console</w:t>
      </w:r>
    </w:p>
    <w:p>
      <w:pPr/>
      <w:r>
        <w:t>The 10-second daily briefing — aggregates every other Plus tool onto one screen.</w:t>
      </w:r>
    </w:p>
    <w:p>
      <w:pPr>
        <w:pStyle w:val="Heading3"/>
      </w:pPr>
      <w:r>
        <w:t>What it is</w:t>
      </w:r>
    </w:p>
    <w:p>
      <w:pPr/>
      <w:r>
        <w:t xml:space="preserve">The first screen Plus users land on. Fuses market sentiment, four macro tiles, five per-asset regime chips, and live previews of Spot Pulse, Flow Radar, the Calendar (next 7 days) and the Watchlist — all in one scroll, zero extra clicks. A “Needs your attention today” popup flags high-impact events landing in the next 24 hours.</w:t>
      </w:r>
    </w:p>
    <w:p>
      <w:pPr>
        <w:pStyle w:val="Heading3"/>
      </w:pPr>
      <w:r>
        <w:t>Where it is</w:t>
      </w:r>
    </w:p>
    <w:p>
      <w:pPr/>
      <w:r>
        <w:t>Tier: Plus.</w:t>
      </w:r>
    </w:p>
    <w:p>
      <w:pPr/>
      <w:r>
        <w:t>Nav path: Sidebar → Plus (group) → Console. Console is also the landing page you reach first when you switch to the Plus workspace.</w:t>
      </w:r>
    </w:p>
    <w:p>
      <w:r>
        <w:drawing>
          <wp:inline xmlns:a="http://schemas.openxmlformats.org/drawingml/2006/main" xmlns:pic="http://schemas.openxmlformats.org/drawingml/2006/picture">
            <wp:extent cx="5760720" cy="3063240"/>
            <wp:docPr id="15" name="Picture 15"/>
            <wp:cNvGraphicFramePr>
              <a:graphicFrameLocks noChangeAspect="1"/>
            </wp:cNvGraphicFramePr>
            <a:graphic>
              <a:graphicData uri="http://schemas.openxmlformats.org/drawingml/2006/picture">
                <pic:pic>
                  <pic:nvPicPr>
                    <pic:cNvPr id="0" name="p01-console.png"/>
                    <pic:cNvPicPr/>
                  </pic:nvPicPr>
                  <pic:blipFill>
                    <a:blip r:embed="rId22"/>
                    <a:stretch>
                      <a:fillRect/>
                    </a:stretch>
                  </pic:blipFill>
                  <pic:spPr>
                    <a:xfrm>
                      <a:off x="0" y="0"/>
                      <a:ext cx="5760720" cy="3063240"/>
                    </a:xfrm>
                    <a:prstGeom prst="rect"/>
                  </pic:spPr>
                </pic:pic>
              </a:graphicData>
            </a:graphic>
          </wp:inline>
        </w:drawing>
      </w:r>
    </w:p>
    <w:p>
      <w:pPr/>
      <w:r>
        <w:rPr>
          <w:i/>
        </w:rPr>
        <w:t>Figure: Console — Market Conditions regime, 4 macro tiles, 5 asset regime chips, and preview panels below.</w:t>
      </w:r>
    </w:p>
    <w:p>
      <w:pPr>
        <w:pStyle w:val="Heading3"/>
      </w:pPr>
      <w:r>
        <w:t>How the user uses it</w:t>
      </w:r>
    </w:p>
    <w:p>
      <w:pPr/>
      <w:r>
        <w:t xml:space="preserve">Scroll top to bottom for the full briefing: read the Global Regime word and confidence score, glance at the 4 macro tiles (BTC ETF Net Flow, BTC Dominance, On-Chain Bias, Total Liquidations 24H), check each of the 5 asset regime chips (BTC/ETH/SOL/BNB/HYPE), then use the preview panels below (Spot Pulse, Flow Radar, Calendar, Watchlist) as jump-off points — each has an “Open X →” link into its full tab. If the attention popup appears, read it and click Dismiss (it won't show those events again in this browser).</w:t>
      </w:r>
    </w:p>
    <w:p>
      <w:pPr>
        <w:pStyle w:val="Heading3"/>
      </w:pPr>
      <w:r>
        <w:t>How we build it</w:t>
      </w:r>
    </w:p>
    <w:p>
      <w:pPr>
        <w:pStyle w:val="Heading4"/>
      </w:pPr>
      <w:r>
        <w:t>Via API</w:t>
      </w:r>
    </w:p>
    <w:p>
      <w:pPr>
        <w:pStyle w:val="Heading5"/>
      </w:pPr>
      <w:r>
        <w:t>1.1 Market Conditions — Global Regime &amp; Fear/Greed</w:t>
      </w:r>
    </w:p>
    <w:p>
      <w:pPr/>
      <w:r>
        <w:t>Data in: Fear &amp; Greed index (0–100), 7-day BTC/ETH ETF flow direction, OI-weighted funding rate, OI-vs-price trend.</w:t>
      </w:r>
    </w:p>
    <w:p>
      <w:pPr/>
      <w:r>
        <w:t>API: /api/index/fear-greed-history · /api/etf/bitcoin/flow-history · /api/etf/ethereum/flow-history · /api/futures/funding-rate/oi-weight-history · /api/futures/open-interest/aggregated-history · /api/futures/pairs-markets</w:t>
      </w:r>
    </w:p>
    <w:p>
      <w:pPr/>
      <w:r>
        <w:t>How it's calculated: 4 inputs, each scored −1/0/+1, summed, then NORMALIZED by dividing by the count of non-zero (“active”) signals — a deliberate fix over a raw fixed-threshold sum, so the verdict stays meaningful even when some signals return neutral rather than diluting the bands with dead weight. Long/Short bias is intentionally NOT part of this composite — it still drives the standalone On-Chain Bias macro tile below, just not this score.</w:t>
      </w:r>
    </w:p>
    <w:tbl>
      <w:tblPr>
        <w:tblStyle w:val="LightGrid-Accent1"/>
        <w:tblW w:type="auto" w:w="0"/>
        <w:tblLook w:firstColumn="1" w:firstRow="1" w:lastColumn="0" w:lastRow="0" w:noHBand="0" w:noVBand="1" w:val="04A0"/>
      </w:tblPr>
      <w:tblGrid>
        <w:gridCol w:w="4320"/>
        <w:gridCol w:w="4320"/>
      </w:tblGrid>
      <w:tr>
        <w:tc>
          <w:tcPr>
            <w:tcW w:type="dxa" w:w="4320"/>
          </w:tcPr>
          <w:p>
            <w:r>
              <w:t>Signal</w:t>
            </w:r>
          </w:p>
        </w:tc>
        <w:tc>
          <w:tcPr>
            <w:tcW w:type="dxa" w:w="4320"/>
          </w:tcPr>
          <w:p>
            <w:r>
              <w:t>Scoring</w:t>
            </w:r>
          </w:p>
        </w:tc>
      </w:tr>
      <w:tr>
        <w:tc>
          <w:tcPr>
            <w:tcW w:type="dxa" w:w="4320"/>
          </w:tcPr>
          <w:p>
            <w:r>
              <w:t>Fear &amp; Greed</w:t>
            </w:r>
          </w:p>
        </w:tc>
        <w:tc>
          <w:tcPr>
            <w:tcW w:type="dxa" w:w="4320"/>
          </w:tcPr>
          <w:p>
            <w:r>
              <w:t>0–45 → +1 (contrarian) · 46–55 → 0 · 56–100 → −1</w:t>
            </w:r>
          </w:p>
        </w:tc>
      </w:tr>
      <w:tr>
        <w:tc>
          <w:tcPr>
            <w:tcW w:type="dxa" w:w="4320"/>
          </w:tcPr>
          <w:p>
            <w:r>
              <w:t>ETF Flow (7D)</w:t>
            </w:r>
          </w:p>
        </w:tc>
        <w:tc>
          <w:tcPr>
            <w:tcW w:type="dxa" w:w="4320"/>
          </w:tcPr>
          <w:p>
            <w:r>
              <w:t>positive 7D flow → +1 · 0 → 0 · negative → −1 (pre-scored by caller)</w:t>
            </w:r>
          </w:p>
        </w:tc>
      </w:tr>
      <w:tr>
        <w:tc>
          <w:tcPr>
            <w:tcW w:type="dxa" w:w="4320"/>
          </w:tcPr>
          <w:p>
            <w:r>
              <w:t>Funding Rate</w:t>
            </w:r>
          </w:p>
        </w:tc>
        <w:tc>
          <w:tcPr>
            <w:tcW w:type="dxa" w:w="4320"/>
          </w:tcPr>
          <w:p>
            <w:r>
              <w:t>&gt; +0.10% → −1 (overheated long) · 0…+0.10% → 0 · negative → +1 (contrarian bullish)</w:t>
            </w:r>
          </w:p>
        </w:tc>
      </w:tr>
      <w:tr>
        <w:tc>
          <w:tcPr>
            <w:tcW w:type="dxa" w:w="4320"/>
          </w:tcPr>
          <w:p>
            <w:r>
              <w:t>OI vs Price</w:t>
            </w:r>
          </w:p>
        </w:tc>
        <w:tc>
          <w:tcPr>
            <w:tcW w:type="dxa" w:w="4320"/>
          </w:tcPr>
          <w:p>
            <w:r>
              <w:t>both rising → +1 · OI rising + price flat → −1 · everything else → 0</w:t>
            </w:r>
          </w:p>
        </w:tc>
      </w:tr>
    </w:tbl>
    <w:p>
      <w:pPr/>
      <w:r>
        <w:t>Normalized score = (sum of the 4 scores) / (count of non-zero scores). Verdict bands on the NORMALIZED score: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Normalized score</w:t>
            </w:r>
          </w:p>
        </w:tc>
        <w:tc>
          <w:tcPr>
            <w:tcW w:type="dxa" w:w="2880"/>
          </w:tcPr>
          <w:p>
            <w:r>
              <w:t>Verdict</w:t>
            </w:r>
          </w:p>
        </w:tc>
        <w:tc>
          <w:tcPr>
            <w:tcW w:type="dxa" w:w="2880"/>
          </w:tcPr>
          <w:p>
            <w:r>
              <w:t>Color</w:t>
            </w:r>
          </w:p>
        </w:tc>
      </w:tr>
      <w:tr>
        <w:tc>
          <w:tcPr>
            <w:tcW w:type="dxa" w:w="2880"/>
          </w:tcPr>
          <w:p>
            <w:r>
              <w:t>≥ +0.60</w:t>
            </w:r>
          </w:p>
        </w:tc>
        <w:tc>
          <w:tcPr>
            <w:tcW w:type="dxa" w:w="2880"/>
          </w:tcPr>
          <w:p>
            <w:r>
              <w:t>Strongly Bullish</w:t>
            </w:r>
          </w:p>
        </w:tc>
        <w:tc>
          <w:tcPr>
            <w:tcW w:type="dxa" w:w="2880"/>
          </w:tcPr>
          <w:p>
            <w:r>
              <w:t>green</w:t>
            </w:r>
          </w:p>
        </w:tc>
      </w:tr>
      <w:tr>
        <w:tc>
          <w:tcPr>
            <w:tcW w:type="dxa" w:w="2880"/>
          </w:tcPr>
          <w:p>
            <w:r>
              <w:t>+0.25 to +0.60</w:t>
            </w:r>
          </w:p>
        </w:tc>
        <w:tc>
          <w:tcPr>
            <w:tcW w:type="dxa" w:w="2880"/>
          </w:tcPr>
          <w:p>
            <w:r>
              <w:t>Cautiously Bullish</w:t>
            </w:r>
          </w:p>
        </w:tc>
        <w:tc>
          <w:tcPr>
            <w:tcW w:type="dxa" w:w="2880"/>
          </w:tcPr>
          <w:p>
            <w:r>
              <w:t>grey-green</w:t>
            </w:r>
          </w:p>
        </w:tc>
      </w:tr>
      <w:tr>
        <w:tc>
          <w:tcPr>
            <w:tcW w:type="dxa" w:w="2880"/>
          </w:tcPr>
          <w:p>
            <w:r>
              <w:t>−0.25 to +0.25</w:t>
            </w:r>
          </w:p>
        </w:tc>
        <w:tc>
          <w:tcPr>
            <w:tcW w:type="dxa" w:w="2880"/>
          </w:tcPr>
          <w:p>
            <w:r>
              <w:t>Neutral</w:t>
            </w:r>
          </w:p>
        </w:tc>
        <w:tc>
          <w:tcPr>
            <w:tcW w:type="dxa" w:w="2880"/>
          </w:tcPr>
          <w:p>
            <w:r>
              <w:t>grey</w:t>
            </w:r>
          </w:p>
        </w:tc>
      </w:tr>
      <w:tr>
        <w:tc>
          <w:tcPr>
            <w:tcW w:type="dxa" w:w="2880"/>
          </w:tcPr>
          <w:p>
            <w:r>
              <w:t>−0.60 to −0.25</w:t>
            </w:r>
          </w:p>
        </w:tc>
        <w:tc>
          <w:tcPr>
            <w:tcW w:type="dxa" w:w="2880"/>
          </w:tcPr>
          <w:p>
            <w:r>
              <w:t>Cautiously Bearish</w:t>
            </w:r>
          </w:p>
        </w:tc>
        <w:tc>
          <w:tcPr>
            <w:tcW w:type="dxa" w:w="2880"/>
          </w:tcPr>
          <w:p>
            <w:r>
              <w:t>grey-red</w:t>
            </w:r>
          </w:p>
        </w:tc>
      </w:tr>
      <w:tr>
        <w:tc>
          <w:tcPr>
            <w:tcW w:type="dxa" w:w="2880"/>
          </w:tcPr>
          <w:p>
            <w:r>
              <w:t>&lt; −0.60</w:t>
            </w:r>
          </w:p>
        </w:tc>
        <w:tc>
          <w:tcPr>
            <w:tcW w:type="dxa" w:w="2880"/>
          </w:tcPr>
          <w:p>
            <w:r>
              <w:t>Strongly Bearish</w:t>
            </w:r>
          </w:p>
        </w:tc>
        <w:tc>
          <w:tcPr>
            <w:tcW w:type="dxa" w:w="2880"/>
          </w:tcPr>
          <w:p>
            <w:r>
              <w:t>red</w:t>
            </w:r>
          </w:p>
        </w:tc>
      </w:tr>
    </w:tbl>
    <w:p>
      <w:pPr/>
      <w:r>
        <w:t>Confidence floor (share of active signals agreeing with the winning direction): ≥0.75 → show the full verdict · 0.60–0.75 → “Leaning [Bullish/Bearish]” · &lt;0.60 → “Neutral · Low Signal” regardless of the raw verdict.</w:t>
      </w:r>
    </w:p>
    <w:p>
      <w:pPr/>
      <w:r>
        <w:t>Sentiment extremes are contrarian; fusing 4 independent signals reduces false-confidence single-indicator whipsaws.</w:t>
      </w:r>
    </w:p>
    <w:p>
      <w:pPr>
        <w:pStyle w:val="Heading5"/>
      </w:pPr>
      <w:r>
        <w:t>1.2 Macro Tiles (4 tiles)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Tile</w:t>
            </w:r>
          </w:p>
        </w:tc>
        <w:tc>
          <w:tcPr>
            <w:tcW w:type="dxa" w:w="2160"/>
          </w:tcPr>
          <w:p>
            <w:r>
              <w:t>API</w:t>
            </w:r>
          </w:p>
        </w:tc>
        <w:tc>
          <w:tcPr>
            <w:tcW w:type="dxa" w:w="2160"/>
          </w:tcPr>
          <w:p>
            <w:r>
              <w:t>Calculation</w:t>
            </w:r>
          </w:p>
        </w:tc>
        <w:tc>
          <w:tcPr>
            <w:tcW w:type="dxa" w:w="2160"/>
          </w:tcPr>
          <w:p>
            <w:r>
              <w:t>Refresh</w:t>
            </w:r>
          </w:p>
        </w:tc>
      </w:tr>
      <w:tr>
        <w:tc>
          <w:tcPr>
            <w:tcW w:type="dxa" w:w="2160"/>
          </w:tcPr>
          <w:p>
            <w:r>
              <w:t>BTC ETF Net Flow</w:t>
            </w:r>
          </w:p>
        </w:tc>
        <w:tc>
          <w:tcPr>
            <w:tcW w:type="dxa" w:w="2160"/>
          </w:tcPr>
          <w:p>
            <w:r>
              <w:t>/api/etf/bitcoin/flow-history</w:t>
            </w:r>
          </w:p>
        </w:tc>
        <w:tc>
          <w:tcPr>
            <w:tcW w:type="dxa" w:w="2160"/>
          </w:tcPr>
          <w:p>
            <w:r>
              <w:t>Sum of last 7 daily flows vs. the prior 7-day window; “$X · +Y% vs prior 7d”</w:t>
            </w:r>
          </w:p>
        </w:tc>
        <w:tc>
          <w:tcPr>
            <w:tcW w:type="dxa" w:w="2160"/>
          </w:tcPr>
          <w:p>
            <w:r>
              <w:t>daily, after US close</w:t>
            </w:r>
          </w:p>
        </w:tc>
      </w:tr>
      <w:tr>
        <w:tc>
          <w:tcPr>
            <w:tcW w:type="dxa" w:w="2160"/>
          </w:tcPr>
          <w:p>
            <w:r>
              <w:t>BTC Dominance</w:t>
            </w:r>
          </w:p>
        </w:tc>
        <w:tc>
          <w:tcPr>
            <w:tcW w:type="dxa" w:w="2160"/>
          </w:tcPr>
          <w:p>
            <w:r>
              <w:t>CoinGecko /api/v3/global (free, no key)</w:t>
            </w:r>
          </w:p>
        </w:tc>
        <w:tc>
          <w:tcPr>
            <w:tcW w:type="dxa" w:w="2160"/>
          </w:tcPr>
          <w:p>
            <w:r>
              <w:t>BTC's share of total crypto market cap + 24h market-cap-wide change. Rising = risk-off; falling = risk-on/alt-season.</w:t>
            </w:r>
          </w:p>
        </w:tc>
        <w:tc>
          <w:tcPr>
            <w:tcW w:type="dxa" w:w="2160"/>
          </w:tcPr>
          <w:p>
            <w:r>
              <w:t>15 min</w:t>
            </w:r>
          </w:p>
        </w:tc>
      </w:tr>
      <w:tr>
        <w:tc>
          <w:tcPr>
            <w:tcW w:type="dxa" w:w="2160"/>
          </w:tcPr>
          <w:p>
            <w:r>
              <w:t>On-Chain Bias</w:t>
            </w:r>
          </w:p>
        </w:tc>
        <w:tc>
          <w:tcPr>
            <w:tcW w:type="dxa" w:w="2160"/>
          </w:tcPr>
          <w:p>
            <w:r>
              <w:t>/api/futures/global-long-short-account-ratio/history (BTC-USDT, 1h)</w:t>
            </w:r>
          </w:p>
        </w:tc>
        <w:tc>
          <w:tcPr>
            <w:tcW w:type="dxa" w:w="2160"/>
          </w:tcPr>
          <w:p>
            <w:r>
              <w:t>% long + ratio, both derived from the same API response row</w:t>
            </w:r>
          </w:p>
        </w:tc>
        <w:tc>
          <w:tcPr>
            <w:tcW w:type="dxa" w:w="2160"/>
          </w:tcPr>
          <w:p>
            <w:r>
              <w:t>15 min</w:t>
            </w:r>
          </w:p>
        </w:tc>
      </w:tr>
      <w:tr>
        <w:tc>
          <w:tcPr>
            <w:tcW w:type="dxa" w:w="2160"/>
          </w:tcPr>
          <w:p>
            <w:r>
              <w:t>Total Liquidations 24H</w:t>
            </w:r>
          </w:p>
        </w:tc>
        <w:tc>
          <w:tcPr>
            <w:tcW w:type="dxa" w:w="2160"/>
          </w:tcPr>
          <w:p>
            <w:r>
              <w:t>/api/futures/liquidation/coin-list + /api/futures/liquidation/aggregated-history</w:t>
            </w:r>
          </w:p>
        </w:tc>
        <w:tc>
          <w:tcPr>
            <w:tcW w:type="dxa" w:w="2160"/>
          </w:tcPr>
          <w:p>
            <w:r>
              <w:t>24h liquidations across all coins vs. trailing hourly average; “$X · ±Y% vs 7D avg”</w:t>
            </w:r>
          </w:p>
        </w:tc>
        <w:tc>
          <w:tcPr>
            <w:tcW w:type="dxa" w:w="2160"/>
          </w:tcPr>
          <w:p>
            <w:r>
              <w:t>15 min</w:t>
            </w:r>
          </w:p>
        </w:tc>
      </w:tr>
    </w:tbl>
    <w:p>
      <w:pPr>
        <w:pStyle w:val="Heading5"/>
      </w:pPr>
      <w:r>
        <w:t>1.3 Regime Chips — BTC / ETH / SOL / BNB / HYPE</w:t>
      </w:r>
    </w:p>
    <w:p>
      <w:pPr/>
      <w:r>
        <w:t>One card per asset — price, 24h change, the same fused regime engine as 1.1 scoped to that asset, and its own confidence score. Fetched via /api/futures/pairs-markets (all 5 batched in one call) plus the same funding/OI/L-S endpoints, scoped per asset. Each asset runs the engine fully independently — no inheriting BTC's confidence. HYPE has fewer reliable signals in practice. Refreshes every 5 minutes.</w:t>
      </w:r>
    </w:p>
    <w:p>
      <w:pPr>
        <w:pStyle w:val="Heading5"/>
      </w:pPr>
      <w:r>
        <w:t>1.4 Preview Panels</w:t>
      </w:r>
    </w:p>
    <w:tbl>
      <w:tblPr>
        <w:tblStyle w:val="LightGrid-Accent1"/>
        <w:tblW w:type="auto" w:w="0"/>
        <w:tblLook w:firstColumn="1" w:firstRow="1" w:lastColumn="0" w:lastRow="0" w:noHBand="0" w:noVBand="1" w:val="04A0"/>
      </w:tblPr>
      <w:tblGrid>
        <w:gridCol w:w="2000"/>
        <w:gridCol w:w="4800"/>
        <w:gridCol w:w="2200"/>
      </w:tblGrid>
      <w:tr>
        <w:tc>
          <w:tcPr>
            <w:tcW w:type="dxa" w:w="2000"/>
          </w:tcPr>
          <w:p>
            <w:pPr/>
            <w:r>
              <w:t xml:space="preserve">Preview</w:t>
            </w:r>
          </w:p>
        </w:tc>
        <w:tc>
          <w:tcPr>
            <w:tcW w:type="dxa" w:w="4800"/>
          </w:tcPr>
          <w:p>
            <w:pPr/>
            <w:r>
              <w:t xml:space="preserve">Logic</w:t>
            </w:r>
          </w:p>
        </w:tc>
        <w:tc>
          <w:tcPr>
            <w:tcW w:type="dxa" w:w="2200"/>
          </w:tcPr>
          <w:p>
            <w:pPr/>
            <w:r>
              <w:t xml:space="preserve">Footer</w:t>
            </w:r>
          </w:p>
        </w:tc>
      </w:tr>
      <w:tr>
        <w:tc>
          <w:tcPr>
            <w:tcW w:type="dxa" w:w="2000"/>
          </w:tcPr>
          <w:p>
            <w:pPr/>
            <w:r>
              <w:t xml:space="preserve">Spot Pulse preview</w:t>
            </w:r>
          </w:p>
        </w:tc>
        <w:tc>
          <w:tcPr>
            <w:tcW w:type="dxa" w:w="4800"/>
          </w:tcPr>
          <w:p>
            <w:pPr/>
            <w:r>
              <w:t xml:space="preserve">The same 5 Spot Pulse tiles as On-Chain Insights §2.9 (asset, verdict, price move)</w:t>
            </w:r>
          </w:p>
        </w:tc>
        <w:tc>
          <w:tcPr>
            <w:tcW w:type="dxa" w:w="2200"/>
          </w:tcPr>
          <w:p>
            <w:pPr/>
            <w:r>
              <w:t xml:space="preserve">“Open Spot Pulse →” (On-Chain Insights)</w:t>
            </w:r>
          </w:p>
        </w:tc>
      </w:tr>
      <w:tr>
        <w:tc>
          <w:tcPr>
            <w:tcW w:type="dxa" w:w="2000"/>
          </w:tcPr>
          <w:p>
            <w:pPr/>
            <w:r>
              <w:t xml:space="preserve">Flow Radar preview</w:t>
            </w:r>
          </w:p>
        </w:tc>
        <w:tc>
          <w:tcPr>
            <w:tcW w:type="dxa" w:w="4800"/>
          </w:tcPr>
          <w:p>
            <w:pPr/>
            <w:r>
              <w:t xml:space="preserve">Latest events from the shared Flow Radar event buffer (30-min delay for non-Pro)</w:t>
            </w:r>
          </w:p>
        </w:tc>
        <w:tc>
          <w:tcPr>
            <w:tcW w:type="dxa" w:w="2200"/>
          </w:tcPr>
          <w:p>
            <w:pPr/>
            <w:r>
              <w:t xml:space="preserve">“Open Flow Radar →”</w:t>
            </w:r>
          </w:p>
        </w:tc>
      </w:tr>
      <w:tr>
        <w:tc>
          <w:tcPr>
            <w:tcW w:type="dxa" w:w="2000"/>
          </w:tcPr>
          <w:p>
            <w:pPr/>
            <w:r>
              <w:t xml:space="preserve">Calendar preview</w:t>
            </w:r>
          </w:p>
        </w:tc>
        <w:tc>
          <w:tcPr>
            <w:tcW w:type="dxa" w:w="4800"/>
          </w:tcPr>
          <w:p>
            <w:pPr/>
            <w:r>
              <w:t xml:space="preserve">Day-by-day agenda for the next 7 days from the shared Calendar (§5). Up to 3 rows per day — team (Kumami) events first, then HIGH → LOW impact, then time — with a “+N more” line</w:t>
            </w:r>
          </w:p>
        </w:tc>
        <w:tc>
          <w:tcPr>
            <w:tcW w:type="dxa" w:w="2200"/>
          </w:tcPr>
          <w:p>
            <w:pPr/>
            <w:r>
              <w:t xml:space="preserve">“Open Calendar →”</w:t>
            </w:r>
          </w:p>
        </w:tc>
      </w:tr>
      <w:tr>
        <w:tc>
          <w:tcPr>
            <w:tcW w:type="dxa" w:w="2000"/>
          </w:tcPr>
          <w:p>
            <w:pPr/>
            <w:r>
              <w:t xml:space="preserve">Watchlist preview</w:t>
            </w:r>
          </w:p>
        </w:tc>
        <w:tc>
          <w:tcPr>
            <w:tcW w:type="dxa" w:w="4800"/>
          </w:tcPr>
          <w:p>
            <w:pPr/>
            <w:r>
              <w:t xml:space="preserve">The same fixed 5-asset roster as the Watchlist tab (§6), most notable signal first, “Quiet” assets last</w:t>
            </w:r>
          </w:p>
        </w:tc>
        <w:tc>
          <w:tcPr>
            <w:tcW w:type="dxa" w:w="2200"/>
          </w:tcPr>
          <w:p>
            <w:pPr/>
            <w:r>
              <w:t xml:space="preserve">“Open Watchlist →”</w:t>
            </w:r>
          </w:p>
        </w:tc>
      </w:tr>
    </w:tbl>
    <w:p>
      <w:pPr/>
      <w:r>
        <w:t xml:space="preserve">Retired on 21 Sep 2026: the Intelligence preview (replaced by the Calendar preview) and the separate “Radar Watchlist” auto-pick engine, which could show different assets than the real Watchlist. Console and the Watchlist tab now read the same data, so they can never disagree.</w:t>
      </w:r>
    </w:p>
    <w:p>
      <w:pPr>
        <w:pStyle w:val="Heading5"/>
      </w:pPr>
      <w:r>
        <w:t xml:space="preserve">1.5 “Needs your attention today” popup</w:t>
      </w:r>
    </w:p>
    <w:p>
      <w:pPr/>
      <w:r>
        <w:t xml:space="preserve">Fires when Console loads if any Calendar event is HIGH impact, starts within the next 24 hours, involves BTC, ETH, SOL, BNB or HYPE (or was added by the Kumami team), and hasn't been dismissed in this browser. Lists up to 5 such events with a countdown (“In 3h”). Dismiss hides those events for good (localStorage). Same rule as the Calendar's own D-1 popup (§5). Not built: the mockup's airdrop “you are eligible” line — there is no per-user eligibility data, so it would be fabricated.</w:t>
      </w:r>
    </w:p>
    <w:p>
      <w:pPr>
        <w:pStyle w:val="Heading2"/>
      </w:pPr>
      <w:r>
        <w:t>2. On-Chain Insights</w:t>
      </w:r>
    </w:p>
    <w:p>
      <w:pPr/>
      <w:r>
        <w:t>Market-structure deep dive per asset — 8 independent panels plus the Spot Pulse verdict grid.</w:t>
      </w:r>
    </w:p>
    <w:p>
      <w:pPr>
        <w:pStyle w:val="Heading3"/>
      </w:pPr>
      <w:r>
        <w:t>What it is</w:t>
      </w:r>
    </w:p>
    <w:p>
      <w:pPr/>
      <w:r>
        <w:t>Selectable asset (BTC/ETH/SOL/BNB/AVAX) and range (24H/7D/30D) driving 8 independent panels, each a chart + verdict tag + one-line headline, plus the embedded Spot Pulse panel (§2.9). Every panel is wrapped in its own try/catch — a failing endpoint degrades just that one panel to “No Data” rather than failing the page.</w:t>
      </w:r>
    </w:p>
    <w:p>
      <w:pPr>
        <w:pStyle w:val="Heading3"/>
      </w:pPr>
      <w:r>
        <w:t>Where it is</w:t>
      </w:r>
    </w:p>
    <w:p>
      <w:pPr/>
      <w:r>
        <w:t>Tier: Plus.</w:t>
      </w:r>
    </w:p>
    <w:p>
      <w:pPr/>
      <w:r>
        <w:t>Nav path: Sidebar → Plus (group) → On-Chain Insights.</w:t>
      </w:r>
    </w:p>
    <w:p>
      <w:r>
        <w:drawing>
          <wp:inline xmlns:a="http://schemas.openxmlformats.org/drawingml/2006/main" xmlns:pic="http://schemas.openxmlformats.org/drawingml/2006/picture">
            <wp:extent cx="5760720" cy="3063240"/>
            <wp:docPr id="16" name="Picture 16"/>
            <wp:cNvGraphicFramePr>
              <a:graphicFrameLocks noChangeAspect="1"/>
            </wp:cNvGraphicFramePr>
            <a:graphic>
              <a:graphicData uri="http://schemas.openxmlformats.org/drawingml/2006/picture">
                <pic:pic>
                  <pic:nvPicPr>
                    <pic:cNvPr id="0" name="p02-onchain.png"/>
                    <pic:cNvPicPr/>
                  </pic:nvPicPr>
                  <pic:blipFill>
                    <a:blip r:embed="rId23"/>
                    <a:stretch>
                      <a:fillRect/>
                    </a:stretch>
                  </pic:blipFill>
                  <pic:spPr>
                    <a:xfrm>
                      <a:off x="0" y="0"/>
                      <a:ext cx="5760720" cy="3063240"/>
                    </a:xfrm>
                    <a:prstGeom prst="rect"/>
                  </pic:spPr>
                </pic:pic>
              </a:graphicData>
            </a:graphic>
          </wp:inline>
        </w:drawing>
      </w:r>
    </w:p>
    <w:p>
      <w:pPr/>
      <w:r>
        <w:rPr>
          <w:i/>
        </w:rPr>
        <w:t>Figure: On-Chain Insights — asset/range selector, Funding Rate / Liquidations / Exchange Netflow / Long-Short tiles, and the embedded Spot Pulse panel.</w:t>
      </w:r>
    </w:p>
    <w:p>
      <w:pPr>
        <w:pStyle w:val="Heading3"/>
      </w:pPr>
      <w:r>
        <w:t>How the user uses it</w:t>
      </w:r>
    </w:p>
    <w:p>
      <w:pPr/>
      <w:r>
        <w:t>Pick an asset tab (BTC/ETH/SOL/BNB/AVAX) and a range (24H/7D/30D) at the top — every panel below re-fetches for that selection. Read each panel's colored verdict tag and one-line headline first; expand into the mini trend chart for detail. The banner reads “Data delayed 15 min · Upgrade to Pro for real-time.”</w:t>
      </w:r>
    </w:p>
    <w:p>
      <w:pPr>
        <w:pStyle w:val="Heading3"/>
      </w:pPr>
      <w:r>
        <w:t>How we build it</w:t>
      </w:r>
    </w:p>
    <w:p>
      <w:pPr>
        <w:pStyle w:val="Heading4"/>
      </w:pPr>
      <w:r>
        <w:t>Via API</w:t>
      </w:r>
    </w:p>
    <w:p>
      <w:pPr>
        <w:pStyle w:val="Heading5"/>
      </w:pPr>
      <w:r>
        <w:t>2.1 Funding Rate</w:t>
      </w:r>
    </w:p>
    <w:p>
      <w:pPr/>
      <w:r>
        <w:t>What it is: the recurring fee leveraged perpetual traders pay to hold a position — a direct read of crowd positioning.</w:t>
      </w:r>
    </w:p>
    <w:p>
      <w:pPr/>
      <w:r>
        <w:t>API: /api/futures/funding-rate/oi-weight-history (OI-weighted, aggregated across exchanges). Cache: 300s.</w:t>
      </w:r>
    </w:p>
    <w:p>
      <w:pPr/>
      <w:r>
        <w:t>How it's calculated: bands on the 3-cycle average funding rate; a “Persistently” modifier applies if the current band is extreme AND the last 3 cycles were all extreme in the same direction; a “· Rising Fast” tag fires if the 24h delta &gt; +0.05%, or “· Unwinding” if an extreme reading is moving back toward zero.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3-cycle avg funding rate</w:t>
            </w:r>
          </w:p>
        </w:tc>
        <w:tc>
          <w:tcPr>
            <w:tcW w:type="dxa" w:w="2880"/>
          </w:tcPr>
          <w:p>
            <w:r>
              <w:t>Verdict</w:t>
            </w:r>
          </w:p>
        </w:tc>
        <w:tc>
          <w:tcPr>
            <w:tcW w:type="dxa" w:w="2880"/>
          </w:tcPr>
          <w:p>
            <w:r>
              <w:t>Color</w:t>
            </w:r>
          </w:p>
        </w:tc>
      </w:tr>
      <w:tr>
        <w:tc>
          <w:tcPr>
            <w:tcW w:type="dxa" w:w="2880"/>
          </w:tcPr>
          <w:p>
            <w:r>
              <w:t>&gt; +0.15%</w:t>
            </w:r>
          </w:p>
        </w:tc>
        <w:tc>
          <w:tcPr>
            <w:tcW w:type="dxa" w:w="2880"/>
          </w:tcPr>
          <w:p>
            <w:r>
              <w:t>Overheated Long</w:t>
            </w:r>
          </w:p>
        </w:tc>
        <w:tc>
          <w:tcPr>
            <w:tcW w:type="dxa" w:w="2880"/>
          </w:tcPr>
          <w:p>
            <w:r>
              <w:t>red</w:t>
            </w:r>
          </w:p>
        </w:tc>
      </w:tr>
      <w:tr>
        <w:tc>
          <w:tcPr>
            <w:tcW w:type="dxa" w:w="2880"/>
          </w:tcPr>
          <w:p>
            <w:r>
              <w:t>+0.06% to +0.15%</w:t>
            </w:r>
          </w:p>
        </w:tc>
        <w:tc>
          <w:tcPr>
            <w:tcW w:type="dxa" w:w="2880"/>
          </w:tcPr>
          <w:p>
            <w:r>
              <w:t>Crowded Long</w:t>
            </w:r>
          </w:p>
        </w:tc>
        <w:tc>
          <w:tcPr>
            <w:tcW w:type="dxa" w:w="2880"/>
          </w:tcPr>
          <w:p>
            <w:r>
              <w:t>amber</w:t>
            </w:r>
          </w:p>
        </w:tc>
      </w:tr>
      <w:tr>
        <w:tc>
          <w:tcPr>
            <w:tcW w:type="dxa" w:w="2880"/>
          </w:tcPr>
          <w:p>
            <w:r>
              <w:t>0% to +0.05%</w:t>
            </w:r>
          </w:p>
        </w:tc>
        <w:tc>
          <w:tcPr>
            <w:tcW w:type="dxa" w:w="2880"/>
          </w:tcPr>
          <w:p>
            <w:r>
              <w:t>Neutral</w:t>
            </w:r>
          </w:p>
        </w:tc>
        <w:tc>
          <w:tcPr>
            <w:tcW w:type="dxa" w:w="2880"/>
          </w:tcPr>
          <w:p>
            <w:r>
              <w:t>grey</w:t>
            </w:r>
          </w:p>
        </w:tc>
      </w:tr>
      <w:tr>
        <w:tc>
          <w:tcPr>
            <w:tcW w:type="dxa" w:w="2880"/>
          </w:tcPr>
          <w:p>
            <w:r>
              <w:t>−0.05% to −0.01%</w:t>
            </w:r>
          </w:p>
        </w:tc>
        <w:tc>
          <w:tcPr>
            <w:tcW w:type="dxa" w:w="2880"/>
          </w:tcPr>
          <w:p>
            <w:r>
              <w:t>Mild Short Bias</w:t>
            </w:r>
          </w:p>
        </w:tc>
        <w:tc>
          <w:tcPr>
            <w:tcW w:type="dxa" w:w="2880"/>
          </w:tcPr>
          <w:p>
            <w:r>
              <w:t>grey</w:t>
            </w:r>
          </w:p>
        </w:tc>
      </w:tr>
      <w:tr>
        <w:tc>
          <w:tcPr>
            <w:tcW w:type="dxa" w:w="2880"/>
          </w:tcPr>
          <w:p>
            <w:r>
              <w:t>−0.10% to −0.06%</w:t>
            </w:r>
          </w:p>
        </w:tc>
        <w:tc>
          <w:tcPr>
            <w:tcW w:type="dxa" w:w="2880"/>
          </w:tcPr>
          <w:p>
            <w:r>
              <w:t>Crowded Short</w:t>
            </w:r>
          </w:p>
        </w:tc>
        <w:tc>
          <w:tcPr>
            <w:tcW w:type="dxa" w:w="2880"/>
          </w:tcPr>
          <w:p>
            <w:r>
              <w:t>amber</w:t>
            </w:r>
          </w:p>
        </w:tc>
      </w:tr>
      <w:tr>
        <w:tc>
          <w:tcPr>
            <w:tcW w:type="dxa" w:w="2880"/>
          </w:tcPr>
          <w:p>
            <w:r>
              <w:t>&lt; −0.10%</w:t>
            </w:r>
          </w:p>
        </w:tc>
        <w:tc>
          <w:tcPr>
            <w:tcW w:type="dxa" w:w="2880"/>
          </w:tcPr>
          <w:p>
            <w:r>
              <w:t>Extreme Short</w:t>
            </w:r>
          </w:p>
        </w:tc>
        <w:tc>
          <w:tcPr>
            <w:tcW w:type="dxa" w:w="2880"/>
          </w:tcPr>
          <w:p>
            <w:r>
              <w:t>green</w:t>
            </w:r>
          </w:p>
        </w:tc>
      </w:tr>
    </w:tbl>
    <w:p>
      <w:pPr/>
      <w:r>
        <w:t>What the user sees: Funding {rate}% — {verdict} headline, “OI-weighted · Every 8H” cadence label, mini trend chart. Persistently one-sided funding is a classic squeeze setup — traders paying to stay positioned signals crowding, not conviction.</w:t>
      </w:r>
    </w:p>
    <w:p>
      <w:pPr>
        <w:pStyle w:val="Heading5"/>
      </w:pPr>
      <w:r>
        <w:t>2.2 Exchange Netflow</w:t>
      </w:r>
    </w:p>
    <w:p>
      <w:pPr/>
      <w:r>
        <w:t>What it is: whether coins are leaving exchange wallets (accumulation/bullish) or arriving (distribution/bearish).</w:t>
      </w:r>
    </w:p>
    <w:p>
      <w:pPr/>
      <w:r>
        <w:t>API: /api/exchange/balance/list + /api/exchange/balance/chart. Cache: 600s.</w:t>
      </w:r>
    </w:p>
    <w:p>
      <w:pPr/>
      <w:r>
        <w:t>How it's calculated: netUsd = −(balance change) × price (positive = net outflow = accumulation).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Net flow</w:t>
            </w:r>
          </w:p>
        </w:tc>
        <w:tc>
          <w:tcPr>
            <w:tcW w:type="dxa" w:w="2880"/>
          </w:tcPr>
          <w:p>
            <w:r>
              <w:t>Verdict</w:t>
            </w:r>
          </w:p>
        </w:tc>
        <w:tc>
          <w:tcPr>
            <w:tcW w:type="dxa" w:w="2880"/>
          </w:tcPr>
          <w:p>
            <w:r>
              <w:t>Color</w:t>
            </w:r>
          </w:p>
        </w:tc>
      </w:tr>
      <w:tr>
        <w:tc>
          <w:tcPr>
            <w:tcW w:type="dxa" w:w="2880"/>
          </w:tcPr>
          <w:p>
            <w:r>
              <w:t>≥ +$1B</w:t>
            </w:r>
          </w:p>
        </w:tc>
        <w:tc>
          <w:tcPr>
            <w:tcW w:type="dxa" w:w="2880"/>
          </w:tcPr>
          <w:p>
            <w:r>
              <w:t>Strong Accumulation</w:t>
            </w:r>
          </w:p>
        </w:tc>
        <w:tc>
          <w:tcPr>
            <w:tcW w:type="dxa" w:w="2880"/>
          </w:tcPr>
          <w:p>
            <w:r>
              <w:t>green</w:t>
            </w:r>
          </w:p>
        </w:tc>
      </w:tr>
      <w:tr>
        <w:tc>
          <w:tcPr>
            <w:tcW w:type="dxa" w:w="2880"/>
          </w:tcPr>
          <w:p>
            <w:r>
              <w:t>+$200M to &lt;+$1B</w:t>
            </w:r>
          </w:p>
        </w:tc>
        <w:tc>
          <w:tcPr>
            <w:tcW w:type="dxa" w:w="2880"/>
          </w:tcPr>
          <w:p>
            <w:r>
              <w:t>Accumulation</w:t>
            </w:r>
          </w:p>
        </w:tc>
        <w:tc>
          <w:tcPr>
            <w:tcW w:type="dxa" w:w="2880"/>
          </w:tcPr>
          <w:p>
            <w:r>
              <w:t>green</w:t>
            </w:r>
          </w:p>
        </w:tc>
      </w:tr>
      <w:tr>
        <w:tc>
          <w:tcPr>
            <w:tcW w:type="dxa" w:w="2880"/>
          </w:tcPr>
          <w:p>
            <w:r>
              <w:t>&gt;+$50M to &lt;+$200M</w:t>
            </w:r>
          </w:p>
        </w:tc>
        <w:tc>
          <w:tcPr>
            <w:tcW w:type="dxa" w:w="2880"/>
          </w:tcPr>
          <w:p>
            <w:r>
              <w:t>Mild Accumulation</w:t>
            </w:r>
          </w:p>
        </w:tc>
        <w:tc>
          <w:tcPr>
            <w:tcW w:type="dxa" w:w="2880"/>
          </w:tcPr>
          <w:p>
            <w:r>
              <w:t>grey-green</w:t>
            </w:r>
          </w:p>
        </w:tc>
      </w:tr>
      <w:tr>
        <w:tc>
          <w:tcPr>
            <w:tcW w:type="dxa" w:w="2880"/>
          </w:tcPr>
          <w:p>
            <w:r>
              <w:t>−$50M to +$50M</w:t>
            </w:r>
          </w:p>
        </w:tc>
        <w:tc>
          <w:tcPr>
            <w:tcW w:type="dxa" w:w="2880"/>
          </w:tcPr>
          <w:p>
            <w:r>
              <w:t>Neutral</w:t>
            </w:r>
          </w:p>
        </w:tc>
        <w:tc>
          <w:tcPr>
            <w:tcW w:type="dxa" w:w="2880"/>
          </w:tcPr>
          <w:p>
            <w:r>
              <w:t>grey</w:t>
            </w:r>
          </w:p>
        </w:tc>
      </w:tr>
      <w:tr>
        <w:tc>
          <w:tcPr>
            <w:tcW w:type="dxa" w:w="2880"/>
          </w:tcPr>
          <w:p>
            <w:r>
              <w:t>&lt;−$50M to &gt;−$200M</w:t>
            </w:r>
          </w:p>
        </w:tc>
        <w:tc>
          <w:tcPr>
            <w:tcW w:type="dxa" w:w="2880"/>
          </w:tcPr>
          <w:p>
            <w:r>
              <w:t>Mild Distribution</w:t>
            </w:r>
          </w:p>
        </w:tc>
        <w:tc>
          <w:tcPr>
            <w:tcW w:type="dxa" w:w="2880"/>
          </w:tcPr>
          <w:p>
            <w:r>
              <w:t>grey-red</w:t>
            </w:r>
          </w:p>
        </w:tc>
      </w:tr>
      <w:tr>
        <w:tc>
          <w:tcPr>
            <w:tcW w:type="dxa" w:w="2880"/>
          </w:tcPr>
          <w:p>
            <w:r>
              <w:t>−$1B to ≤−$200M</w:t>
            </w:r>
          </w:p>
        </w:tc>
        <w:tc>
          <w:tcPr>
            <w:tcW w:type="dxa" w:w="2880"/>
          </w:tcPr>
          <w:p>
            <w:r>
              <w:t>Distribution</w:t>
            </w:r>
          </w:p>
        </w:tc>
        <w:tc>
          <w:tcPr>
            <w:tcW w:type="dxa" w:w="2880"/>
          </w:tcPr>
          <w:p>
            <w:r>
              <w:t>red</w:t>
            </w:r>
          </w:p>
        </w:tc>
      </w:tr>
      <w:tr>
        <w:tc>
          <w:tcPr>
            <w:tcW w:type="dxa" w:w="2880"/>
          </w:tcPr>
          <w:p>
            <w:r>
              <w:t>≤ −$1B</w:t>
            </w:r>
          </w:p>
        </w:tc>
        <w:tc>
          <w:tcPr>
            <w:tcW w:type="dxa" w:w="2880"/>
          </w:tcPr>
          <w:p>
            <w:r>
              <w:t>Heavy Distribution</w:t>
            </w:r>
          </w:p>
        </w:tc>
        <w:tc>
          <w:tcPr>
            <w:tcW w:type="dxa" w:w="2880"/>
          </w:tcPr>
          <w:p>
            <w:r>
              <w:t>red</w:t>
            </w:r>
          </w:p>
        </w:tc>
      </w:tr>
    </w:tbl>
    <w:p>
      <w:pPr/>
      <w:r>
        <w:t>Divergence tags (when flow is accelerating, |netUsd| &gt; $50M, and price is moving): price up + net inflow → “Distribution into Strength” (red) · price down + net outflow → “Accumulation on Dip” (green) · price up + net outflow → “Conviction Rally” (green) · price down + net inflow → “Panic Selling” (red).</w:t>
      </w:r>
    </w:p>
    <w:p>
      <w:pPr/>
      <w:r>
        <w:t>What the user sees: “{$X}M net {in/out}” colored bull/bear, verdict tag, “Coins leaving/arriving exchanges · {range}”, chart of total exchange balance (falling = bullish). Combines the flow direction with price context so a move can be read as conviction vs. panic, not just “up” or “down”.</w:t>
      </w:r>
    </w:p>
    <w:p>
      <w:pPr>
        <w:pStyle w:val="Heading5"/>
      </w:pPr>
      <w:r>
        <w:t>2.3 Long/Short Ratio</w:t>
      </w:r>
    </w:p>
    <w:p>
      <w:pPr/>
      <w:r>
        <w:t>What it is: how crowded the perpetual long/short trade is, plus whether top traders are positioned differently from the crowd.</w:t>
      </w:r>
    </w:p>
    <w:p>
      <w:pPr/>
      <w:r>
        <w:t>API: /api/futures/global-long-short-account-ratio/history + /api/futures/top-long-short-account-ratio/history (Binance). Cache: 300s each.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Global % long</w:t>
            </w:r>
          </w:p>
        </w:tc>
        <w:tc>
          <w:tcPr>
            <w:tcW w:type="dxa" w:w="2880"/>
          </w:tcPr>
          <w:p>
            <w:r>
              <w:t>Verdict</w:t>
            </w:r>
          </w:p>
        </w:tc>
        <w:tc>
          <w:tcPr>
            <w:tcW w:type="dxa" w:w="2880"/>
          </w:tcPr>
          <w:p>
            <w:r>
              <w:t>Color</w:t>
            </w:r>
          </w:p>
        </w:tc>
      </w:tr>
      <w:tr>
        <w:tc>
          <w:tcPr>
            <w:tcW w:type="dxa" w:w="2880"/>
          </w:tcPr>
          <w:p>
            <w:r>
              <w:t>&gt; 75%</w:t>
            </w:r>
          </w:p>
        </w:tc>
        <w:tc>
          <w:tcPr>
            <w:tcW w:type="dxa" w:w="2880"/>
          </w:tcPr>
          <w:p>
            <w:r>
              <w:t>Extremely Crowded Long</w:t>
            </w:r>
          </w:p>
        </w:tc>
        <w:tc>
          <w:tcPr>
            <w:tcW w:type="dxa" w:w="2880"/>
          </w:tcPr>
          <w:p>
            <w:r>
              <w:t>red</w:t>
            </w:r>
          </w:p>
        </w:tc>
      </w:tr>
      <w:tr>
        <w:tc>
          <w:tcPr>
            <w:tcW w:type="dxa" w:w="2880"/>
          </w:tcPr>
          <w:p>
            <w:r>
              <w:t>65–75%</w:t>
            </w:r>
          </w:p>
        </w:tc>
        <w:tc>
          <w:tcPr>
            <w:tcW w:type="dxa" w:w="2880"/>
          </w:tcPr>
          <w:p>
            <w:r>
              <w:t>Crowded Long</w:t>
            </w:r>
          </w:p>
        </w:tc>
        <w:tc>
          <w:tcPr>
            <w:tcW w:type="dxa" w:w="2880"/>
          </w:tcPr>
          <w:p>
            <w:r>
              <w:t>amber</w:t>
            </w:r>
          </w:p>
        </w:tc>
      </w:tr>
      <w:tr>
        <w:tc>
          <w:tcPr>
            <w:tcW w:type="dxa" w:w="2880"/>
          </w:tcPr>
          <w:p>
            <w:r>
              <w:t>55–65%</w:t>
            </w:r>
          </w:p>
        </w:tc>
        <w:tc>
          <w:tcPr>
            <w:tcW w:type="dxa" w:w="2880"/>
          </w:tcPr>
          <w:p>
            <w:r>
              <w:t>Long Bias</w:t>
            </w:r>
          </w:p>
        </w:tc>
        <w:tc>
          <w:tcPr>
            <w:tcW w:type="dxa" w:w="2880"/>
          </w:tcPr>
          <w:p>
            <w:r>
              <w:t>grey-green</w:t>
            </w:r>
          </w:p>
        </w:tc>
      </w:tr>
      <w:tr>
        <w:tc>
          <w:tcPr>
            <w:tcW w:type="dxa" w:w="2880"/>
          </w:tcPr>
          <w:p>
            <w:r>
              <w:t>45–55%</w:t>
            </w:r>
          </w:p>
        </w:tc>
        <w:tc>
          <w:tcPr>
            <w:tcW w:type="dxa" w:w="2880"/>
          </w:tcPr>
          <w:p>
            <w:r>
              <w:t>Balanced</w:t>
            </w:r>
          </w:p>
        </w:tc>
        <w:tc>
          <w:tcPr>
            <w:tcW w:type="dxa" w:w="2880"/>
          </w:tcPr>
          <w:p>
            <w:r>
              <w:t>grey</w:t>
            </w:r>
          </w:p>
        </w:tc>
      </w:tr>
      <w:tr>
        <w:tc>
          <w:tcPr>
            <w:tcW w:type="dxa" w:w="2880"/>
          </w:tcPr>
          <w:p>
            <w:r>
              <w:t>35–45%</w:t>
            </w:r>
          </w:p>
        </w:tc>
        <w:tc>
          <w:tcPr>
            <w:tcW w:type="dxa" w:w="2880"/>
          </w:tcPr>
          <w:p>
            <w:r>
              <w:t>Short Bias</w:t>
            </w:r>
          </w:p>
        </w:tc>
        <w:tc>
          <w:tcPr>
            <w:tcW w:type="dxa" w:w="2880"/>
          </w:tcPr>
          <w:p>
            <w:r>
              <w:t>grey-red</w:t>
            </w:r>
          </w:p>
        </w:tc>
      </w:tr>
      <w:tr>
        <w:tc>
          <w:tcPr>
            <w:tcW w:type="dxa" w:w="2880"/>
          </w:tcPr>
          <w:p>
            <w:r>
              <w:t>25–35%</w:t>
            </w:r>
          </w:p>
        </w:tc>
        <w:tc>
          <w:tcPr>
            <w:tcW w:type="dxa" w:w="2880"/>
          </w:tcPr>
          <w:p>
            <w:r>
              <w:t>Crowded Short</w:t>
            </w:r>
          </w:p>
        </w:tc>
        <w:tc>
          <w:tcPr>
            <w:tcW w:type="dxa" w:w="2880"/>
          </w:tcPr>
          <w:p>
            <w:r>
              <w:t>amber</w:t>
            </w:r>
          </w:p>
        </w:tc>
      </w:tr>
      <w:tr>
        <w:tc>
          <w:tcPr>
            <w:tcW w:type="dxa" w:w="2880"/>
          </w:tcPr>
          <w:p>
            <w:r>
              <w:t>&lt; 25%</w:t>
            </w:r>
          </w:p>
        </w:tc>
        <w:tc>
          <w:tcPr>
            <w:tcW w:type="dxa" w:w="2880"/>
          </w:tcPr>
          <w:p>
            <w:r>
              <w:t>Extremely Crowded Short</w:t>
            </w:r>
          </w:p>
        </w:tc>
        <w:tc>
          <w:tcPr>
            <w:tcW w:type="dxa" w:w="2880"/>
          </w:tcPr>
          <w:p>
            <w:r>
              <w:t>green</w:t>
            </w:r>
          </w:p>
        </w:tc>
      </w:tr>
    </w:tbl>
    <w:p>
      <w:pPr/>
      <w:r>
        <w:t>Smart-money divergence: gap = top-trader %long − global %long. gap &lt; −15 → “Smart Money Fading the Crowd” (amber); gap &gt; +15 → “Smart Money Leading Long” (green); |gap| ≤ 15 → no tag.</w:t>
      </w:r>
    </w:p>
    <w:p>
      <w:pPr/>
      <w:r>
        <w:t>What the user sees: “Long {X}% / Short {100−X}% — {verdict}”, a global vs. top-trader % line overlay, and the divergence tag when present. A crowded trade is fragile; when “smart money” diverges from the crowd, that's historically a more reliable signal than the crowd's own position.</w:t>
      </w:r>
    </w:p>
    <w:p>
      <w:pPr>
        <w:pStyle w:val="Heading5"/>
      </w:pPr>
      <w:r>
        <w:t>2.4 Buy vs Sell Pressure (CVD)</w:t>
      </w:r>
    </w:p>
    <w:p>
      <w:pPr/>
      <w:r>
        <w:t>What it is: whether a price move is backed by real aggressive buying/selling (Cumulative Volume Delta) or is hollow/liquidity-driven.</w:t>
      </w:r>
    </w:p>
    <w:p>
      <w:pPr/>
      <w:r>
        <w:t>API: /api/futures/aggregated-cvd/history + /api/spot/aggregated-cvd/history. Cache: 300s each.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Price</w:t>
            </w:r>
          </w:p>
        </w:tc>
        <w:tc>
          <w:tcPr>
            <w:tcW w:type="dxa" w:w="2160"/>
          </w:tcPr>
          <w:p>
            <w:r>
              <w:t>CVD</w:t>
            </w:r>
          </w:p>
        </w:tc>
        <w:tc>
          <w:tcPr>
            <w:tcW w:type="dxa" w:w="2160"/>
          </w:tcPr>
          <w:p>
            <w:r>
              <w:t>Verdict</w:t>
            </w:r>
          </w:p>
        </w:tc>
        <w:tc>
          <w:tcPr>
            <w:tcW w:type="dxa" w:w="2160"/>
          </w:tcPr>
          <w:p>
            <w:r>
              <w:t>Color</w:t>
            </w:r>
          </w:p>
        </w:tc>
      </w:tr>
      <w:tr>
        <w:tc>
          <w:tcPr>
            <w:tcW w:type="dxa" w:w="2160"/>
          </w:tcPr>
          <w:p>
            <w:r>
              <w:t>Up</w:t>
            </w:r>
          </w:p>
        </w:tc>
        <w:tc>
          <w:tcPr>
            <w:tcW w:type="dxa" w:w="2160"/>
          </w:tcPr>
          <w:p>
            <w:r>
              <w:t>Up</w:t>
            </w:r>
          </w:p>
        </w:tc>
        <w:tc>
          <w:tcPr>
            <w:tcW w:type="dxa" w:w="2160"/>
          </w:tcPr>
          <w:p>
            <w:r>
              <w:t>Buyer-Led Rally</w:t>
            </w:r>
          </w:p>
        </w:tc>
        <w:tc>
          <w:tcPr>
            <w:tcW w:type="dxa" w:w="2160"/>
          </w:tcPr>
          <w:p>
            <w:r>
              <w:t>green</w:t>
            </w:r>
          </w:p>
        </w:tc>
      </w:tr>
      <w:tr>
        <w:tc>
          <w:tcPr>
            <w:tcW w:type="dxa" w:w="2160"/>
          </w:tcPr>
          <w:p>
            <w:r>
              <w:t>Up</w:t>
            </w:r>
          </w:p>
        </w:tc>
        <w:tc>
          <w:tcPr>
            <w:tcW w:type="dxa" w:w="2160"/>
          </w:tcPr>
          <w:p>
            <w:r>
              <w:t>Flat</w:t>
            </w:r>
          </w:p>
        </w:tc>
        <w:tc>
          <w:tcPr>
            <w:tcW w:type="dxa" w:w="2160"/>
          </w:tcPr>
          <w:p>
            <w:r>
              <w:t>Liquidity-Driven Rally</w:t>
            </w:r>
          </w:p>
        </w:tc>
        <w:tc>
          <w:tcPr>
            <w:tcW w:type="dxa" w:w="2160"/>
          </w:tcPr>
          <w:p>
            <w:r>
              <w:t>amber</w:t>
            </w:r>
          </w:p>
        </w:tc>
      </w:tr>
      <w:tr>
        <w:tc>
          <w:tcPr>
            <w:tcW w:type="dxa" w:w="2160"/>
          </w:tcPr>
          <w:p>
            <w:r>
              <w:t>Up</w:t>
            </w:r>
          </w:p>
        </w:tc>
        <w:tc>
          <w:tcPr>
            <w:tcW w:type="dxa" w:w="2160"/>
          </w:tcPr>
          <w:p>
            <w:r>
              <w:t>Down</w:t>
            </w:r>
          </w:p>
        </w:tc>
        <w:tc>
          <w:tcPr>
            <w:tcW w:type="dxa" w:w="2160"/>
          </w:tcPr>
          <w:p>
            <w:r>
              <w:t>Distribution Rally</w:t>
            </w:r>
          </w:p>
        </w:tc>
        <w:tc>
          <w:tcPr>
            <w:tcW w:type="dxa" w:w="2160"/>
          </w:tcPr>
          <w:p>
            <w:r>
              <w:t>red</w:t>
            </w:r>
          </w:p>
        </w:tc>
      </w:tr>
      <w:tr>
        <w:tc>
          <w:tcPr>
            <w:tcW w:type="dxa" w:w="2160"/>
          </w:tcPr>
          <w:p>
            <w:r>
              <w:t>Down</w:t>
            </w:r>
          </w:p>
        </w:tc>
        <w:tc>
          <w:tcPr>
            <w:tcW w:type="dxa" w:w="2160"/>
          </w:tcPr>
          <w:p>
            <w:r>
              <w:t>Down</w:t>
            </w:r>
          </w:p>
        </w:tc>
        <w:tc>
          <w:tcPr>
            <w:tcW w:type="dxa" w:w="2160"/>
          </w:tcPr>
          <w:p>
            <w:r>
              <w:t>Seller-Led Decline</w:t>
            </w:r>
          </w:p>
        </w:tc>
        <w:tc>
          <w:tcPr>
            <w:tcW w:type="dxa" w:w="2160"/>
          </w:tcPr>
          <w:p>
            <w:r>
              <w:t>red</w:t>
            </w:r>
          </w:p>
        </w:tc>
      </w:tr>
      <w:tr>
        <w:tc>
          <w:tcPr>
            <w:tcW w:type="dxa" w:w="2160"/>
          </w:tcPr>
          <w:p>
            <w:r>
              <w:t>Down</w:t>
            </w:r>
          </w:p>
        </w:tc>
        <w:tc>
          <w:tcPr>
            <w:tcW w:type="dxa" w:w="2160"/>
          </w:tcPr>
          <w:p>
            <w:r>
              <w:t>Flat</w:t>
            </w:r>
          </w:p>
        </w:tc>
        <w:tc>
          <w:tcPr>
            <w:tcW w:type="dxa" w:w="2160"/>
          </w:tcPr>
          <w:p>
            <w:r>
              <w:t>Forced Liquidation Decline</w:t>
            </w:r>
          </w:p>
        </w:tc>
        <w:tc>
          <w:tcPr>
            <w:tcW w:type="dxa" w:w="2160"/>
          </w:tcPr>
          <w:p>
            <w:r>
              <w:t>amber</w:t>
            </w:r>
          </w:p>
        </w:tc>
      </w:tr>
      <w:tr>
        <w:tc>
          <w:tcPr>
            <w:tcW w:type="dxa" w:w="2160"/>
          </w:tcPr>
          <w:p>
            <w:r>
              <w:t>Down</w:t>
            </w:r>
          </w:p>
        </w:tc>
        <w:tc>
          <w:tcPr>
            <w:tcW w:type="dxa" w:w="2160"/>
          </w:tcPr>
          <w:p>
            <w:r>
              <w:t>Up</w:t>
            </w:r>
          </w:p>
        </w:tc>
        <w:tc>
          <w:tcPr>
            <w:tcW w:type="dxa" w:w="2160"/>
          </w:tcPr>
          <w:p>
            <w:r>
              <w:t>Accumulation Decline</w:t>
            </w:r>
          </w:p>
        </w:tc>
        <w:tc>
          <w:tcPr>
            <w:tcW w:type="dxa" w:w="2160"/>
          </w:tcPr>
          <w:p>
            <w:r>
              <w:t>green</w:t>
            </w:r>
          </w:p>
        </w:tc>
      </w:tr>
      <w:tr>
        <w:tc>
          <w:tcPr>
            <w:tcW w:type="dxa" w:w="2160"/>
          </w:tcPr>
          <w:p>
            <w:r>
              <w:t>Flat</w:t>
            </w:r>
          </w:p>
        </w:tc>
        <w:tc>
          <w:tcPr>
            <w:tcW w:type="dxa" w:w="2160"/>
          </w:tcPr>
          <w:p>
            <w:r>
              <w:t>any</w:t>
            </w:r>
          </w:p>
        </w:tc>
        <w:tc>
          <w:tcPr>
            <w:tcW w:type="dxa" w:w="2160"/>
          </w:tcPr>
          <w:p>
            <w:r>
              <w:t>Neutral CVD Signal</w:t>
            </w:r>
          </w:p>
        </w:tc>
        <w:tc>
          <w:tcPr>
            <w:tcW w:type="dxa" w:w="2160"/>
          </w:tcPr>
          <w:p>
            <w:r>
              <w:t>grey</w:t>
            </w:r>
          </w:p>
        </w:tc>
      </w:tr>
    </w:tbl>
    <w:p>
      <w:pPr/>
      <w:r>
        <w:t>Spot-vs-futures divergence tag: futures up + spot flat/down → “Speculative Move — Spot Not Confirming” (amber); spot up + futures flat → “Organic Move — Spot Leading” (green).</w:t>
      </w:r>
    </w:p>
    <w:p>
      <w:pPr/>
      <w:r>
        <w:t>What the user sees: dual chart of CVD vs. price with a shaded divergence region; a Futures/Spot toggle switches the charted CVD series. This is the single clearest “is this rally real” read on the platform.</w:t>
      </w:r>
    </w:p>
    <w:p>
      <w:pPr>
        <w:pStyle w:val="Heading5"/>
      </w:pPr>
      <w:r>
        <w:t>2.5 US Demand Premium (Coinbase Premium)</w:t>
      </w:r>
    </w:p>
    <w:p>
      <w:pPr/>
      <w:r>
        <w:t>What it is: the price gap between Coinbase (US demand) and the global average BTC price. Always computed on BTC regardless of the selected asset tab.</w:t>
      </w:r>
    </w:p>
    <w:p>
      <w:pPr/>
      <w:r>
        <w:t>API: /api/coinbase-premium-index. Cache: 300s.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Premium</w:t>
            </w:r>
          </w:p>
        </w:tc>
        <w:tc>
          <w:tcPr>
            <w:tcW w:type="dxa" w:w="2880"/>
          </w:tcPr>
          <w:p>
            <w:r>
              <w:t>Verdict</w:t>
            </w:r>
          </w:p>
        </w:tc>
        <w:tc>
          <w:tcPr>
            <w:tcW w:type="dxa" w:w="2880"/>
          </w:tcPr>
          <w:p>
            <w:r>
              <w:t>Color</w:t>
            </w:r>
          </w:p>
        </w:tc>
      </w:tr>
      <w:tr>
        <w:tc>
          <w:tcPr>
            <w:tcW w:type="dxa" w:w="2880"/>
          </w:tcPr>
          <w:p>
            <w:r>
              <w:t>&gt; +0.3%</w:t>
            </w:r>
          </w:p>
        </w:tc>
        <w:tc>
          <w:tcPr>
            <w:tcW w:type="dxa" w:w="2880"/>
          </w:tcPr>
          <w:p>
            <w:r>
              <w:t>Strong US Premium</w:t>
            </w:r>
          </w:p>
        </w:tc>
        <w:tc>
          <w:tcPr>
            <w:tcW w:type="dxa" w:w="2880"/>
          </w:tcPr>
          <w:p>
            <w:r>
              <w:t>green</w:t>
            </w:r>
          </w:p>
        </w:tc>
      </w:tr>
      <w:tr>
        <w:tc>
          <w:tcPr>
            <w:tcW w:type="dxa" w:w="2880"/>
          </w:tcPr>
          <w:p>
            <w:r>
              <w:t>+0.1% to +0.3%</w:t>
            </w:r>
          </w:p>
        </w:tc>
        <w:tc>
          <w:tcPr>
            <w:tcW w:type="dxa" w:w="2880"/>
          </w:tcPr>
          <w:p>
            <w:r>
              <w:t>Mild US Premium</w:t>
            </w:r>
          </w:p>
        </w:tc>
        <w:tc>
          <w:tcPr>
            <w:tcW w:type="dxa" w:w="2880"/>
          </w:tcPr>
          <w:p>
            <w:r>
              <w:t>grey-green</w:t>
            </w:r>
          </w:p>
        </w:tc>
      </w:tr>
      <w:tr>
        <w:tc>
          <w:tcPr>
            <w:tcW w:type="dxa" w:w="2880"/>
          </w:tcPr>
          <w:p>
            <w:r>
              <w:t>−0.1% to +0.1%</w:t>
            </w:r>
          </w:p>
        </w:tc>
        <w:tc>
          <w:tcPr>
            <w:tcW w:type="dxa" w:w="2880"/>
          </w:tcPr>
          <w:p>
            <w:r>
              <w:t>Neutral</w:t>
            </w:r>
          </w:p>
        </w:tc>
        <w:tc>
          <w:tcPr>
            <w:tcW w:type="dxa" w:w="2880"/>
          </w:tcPr>
          <w:p>
            <w:r>
              <w:t>grey</w:t>
            </w:r>
          </w:p>
        </w:tc>
      </w:tr>
      <w:tr>
        <w:tc>
          <w:tcPr>
            <w:tcW w:type="dxa" w:w="2880"/>
          </w:tcPr>
          <w:p>
            <w:r>
              <w:t>−0.3% to −0.1%</w:t>
            </w:r>
          </w:p>
        </w:tc>
        <w:tc>
          <w:tcPr>
            <w:tcW w:type="dxa" w:w="2880"/>
          </w:tcPr>
          <w:p>
            <w:r>
              <w:t>Offshore Leading</w:t>
            </w:r>
          </w:p>
        </w:tc>
        <w:tc>
          <w:tcPr>
            <w:tcW w:type="dxa" w:w="2880"/>
          </w:tcPr>
          <w:p>
            <w:r>
              <w:t>amber</w:t>
            </w:r>
          </w:p>
        </w:tc>
      </w:tr>
      <w:tr>
        <w:tc>
          <w:tcPr>
            <w:tcW w:type="dxa" w:w="2880"/>
          </w:tcPr>
          <w:p>
            <w:r>
              <w:t>&lt; −0.3%</w:t>
            </w:r>
          </w:p>
        </w:tc>
        <w:tc>
          <w:tcPr>
            <w:tcW w:type="dxa" w:w="2880"/>
          </w:tcPr>
          <w:p>
            <w:r>
              <w:t>US Discount</w:t>
            </w:r>
          </w:p>
        </w:tc>
        <w:tc>
          <w:tcPr>
            <w:tcW w:type="dxa" w:w="2880"/>
          </w:tcPr>
          <w:p>
            <w:r>
              <w:t>red</w:t>
            </w:r>
          </w:p>
        </w:tc>
      </w:tr>
    </w:tbl>
    <w:p>
      <w:pPr/>
      <w:r>
        <w:t>Cross-signal overrides (using the shared exchange-flow direction from §2.2): Strong US Premium + exchange outflow → “Institutional Accumulation Signal” (green); US Discount + exchange inflow → “Retail Distribution Signal” (red). 7-day trend tags: sustained positive streak → “Sustained Institutional Demand”; flips positive → “US Demand Returning”; flips negative → “US Demand Fading.”</w:t>
      </w:r>
    </w:p>
    <w:p>
      <w:pPr/>
      <w:r>
        <w:t>What the user sees: a premium % stat colored bull/bear, a verdict chip, a zero-lined trend chart, and Avg/Trend stats. One of the earliest tells for a genuinely new market regime.</w:t>
      </w:r>
    </w:p>
    <w:p>
      <w:pPr>
        <w:pStyle w:val="Heading5"/>
      </w:pPr>
      <w:r>
        <w:t>2.6 ETF Flow</w:t>
      </w:r>
    </w:p>
    <w:p>
      <w:pPr/>
      <w:r>
        <w:t>What it is: daily net creation/redemption flow through US spot BTC/ETH ETFs.</w:t>
      </w:r>
    </w:p>
    <w:p>
      <w:pPr/>
      <w:r>
        <w:t>API: /api/etf/bitcoin/flow-history or /api/etf/ethereum/flow-history (chain follows the selected asset — ETH selects the Ethereum ETF, everything else defaults to Bitcoin). Cache: 900s.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Daily flow</w:t>
            </w:r>
          </w:p>
        </w:tc>
        <w:tc>
          <w:tcPr>
            <w:tcW w:type="dxa" w:w="2880"/>
          </w:tcPr>
          <w:p>
            <w:r>
              <w:t>Verdict</w:t>
            </w:r>
          </w:p>
        </w:tc>
        <w:tc>
          <w:tcPr>
            <w:tcW w:type="dxa" w:w="2880"/>
          </w:tcPr>
          <w:p>
            <w:r>
              <w:t>Color</w:t>
            </w:r>
          </w:p>
        </w:tc>
      </w:tr>
      <w:tr>
        <w:tc>
          <w:tcPr>
            <w:tcW w:type="dxa" w:w="2880"/>
          </w:tcPr>
          <w:p>
            <w:r>
              <w:t>≥ +$500M</w:t>
            </w:r>
          </w:p>
        </w:tc>
        <w:tc>
          <w:tcPr>
            <w:tcW w:type="dxa" w:w="2880"/>
          </w:tcPr>
          <w:p>
            <w:r>
              <w:t>Heavy Institutional Buying</w:t>
            </w:r>
          </w:p>
        </w:tc>
        <w:tc>
          <w:tcPr>
            <w:tcW w:type="dxa" w:w="2880"/>
          </w:tcPr>
          <w:p>
            <w:r>
              <w:t>green</w:t>
            </w:r>
          </w:p>
        </w:tc>
      </w:tr>
      <w:tr>
        <w:tc>
          <w:tcPr>
            <w:tcW w:type="dxa" w:w="2880"/>
          </w:tcPr>
          <w:p>
            <w:r>
              <w:t>+$100M to &lt;$500M</w:t>
            </w:r>
          </w:p>
        </w:tc>
        <w:tc>
          <w:tcPr>
            <w:tcW w:type="dxa" w:w="2880"/>
          </w:tcPr>
          <w:p>
            <w:r>
              <w:t>Solid ETF Inflow</w:t>
            </w:r>
          </w:p>
        </w:tc>
        <w:tc>
          <w:tcPr>
            <w:tcW w:type="dxa" w:w="2880"/>
          </w:tcPr>
          <w:p>
            <w:r>
              <w:t>green</w:t>
            </w:r>
          </w:p>
        </w:tc>
      </w:tr>
      <w:tr>
        <w:tc>
          <w:tcPr>
            <w:tcW w:type="dxa" w:w="2880"/>
          </w:tcPr>
          <w:p>
            <w:r>
              <w:t>+$10M to &lt;$100M</w:t>
            </w:r>
          </w:p>
        </w:tc>
        <w:tc>
          <w:tcPr>
            <w:tcW w:type="dxa" w:w="2880"/>
          </w:tcPr>
          <w:p>
            <w:r>
              <w:t>Mild Inflow</w:t>
            </w:r>
          </w:p>
        </w:tc>
        <w:tc>
          <w:tcPr>
            <w:tcW w:type="dxa" w:w="2880"/>
          </w:tcPr>
          <w:p>
            <w:r>
              <w:t>grey-green</w:t>
            </w:r>
          </w:p>
        </w:tc>
      </w:tr>
      <w:tr>
        <w:tc>
          <w:tcPr>
            <w:tcW w:type="dxa" w:w="2880"/>
          </w:tcPr>
          <w:p>
            <w:r>
              <w:t>−$10M to &lt;+$10M</w:t>
            </w:r>
          </w:p>
        </w:tc>
        <w:tc>
          <w:tcPr>
            <w:tcW w:type="dxa" w:w="2880"/>
          </w:tcPr>
          <w:p>
            <w:r>
              <w:t>Neutral Flow</w:t>
            </w:r>
          </w:p>
        </w:tc>
        <w:tc>
          <w:tcPr>
            <w:tcW w:type="dxa" w:w="2880"/>
          </w:tcPr>
          <w:p>
            <w:r>
              <w:t>grey</w:t>
            </w:r>
          </w:p>
        </w:tc>
      </w:tr>
      <w:tr>
        <w:tc>
          <w:tcPr>
            <w:tcW w:type="dxa" w:w="2880"/>
          </w:tcPr>
          <w:p>
            <w:r>
              <w:t>−$100M to &gt;−$10M</w:t>
            </w:r>
          </w:p>
        </w:tc>
        <w:tc>
          <w:tcPr>
            <w:tcW w:type="dxa" w:w="2880"/>
          </w:tcPr>
          <w:p>
            <w:r>
              <w:t>Mild Outflow</w:t>
            </w:r>
          </w:p>
        </w:tc>
        <w:tc>
          <w:tcPr>
            <w:tcW w:type="dxa" w:w="2880"/>
          </w:tcPr>
          <w:p>
            <w:r>
              <w:t>grey-red</w:t>
            </w:r>
          </w:p>
        </w:tc>
      </w:tr>
      <w:tr>
        <w:tc>
          <w:tcPr>
            <w:tcW w:type="dxa" w:w="2880"/>
          </w:tcPr>
          <w:p>
            <w:r>
              <w:t>−$500M to &gt;−$100M</w:t>
            </w:r>
          </w:p>
        </w:tc>
        <w:tc>
          <w:tcPr>
            <w:tcW w:type="dxa" w:w="2880"/>
          </w:tcPr>
          <w:p>
            <w:r>
              <w:t>ETF Redemptions</w:t>
            </w:r>
          </w:p>
        </w:tc>
        <w:tc>
          <w:tcPr>
            <w:tcW w:type="dxa" w:w="2880"/>
          </w:tcPr>
          <w:p>
            <w:r>
              <w:t>red</w:t>
            </w:r>
          </w:p>
        </w:tc>
      </w:tr>
      <w:tr>
        <w:tc>
          <w:tcPr>
            <w:tcW w:type="dxa" w:w="2880"/>
          </w:tcPr>
          <w:p>
            <w:r>
              <w:t>≤ −$500M</w:t>
            </w:r>
          </w:p>
        </w:tc>
        <w:tc>
          <w:tcPr>
            <w:tcW w:type="dxa" w:w="2880"/>
          </w:tcPr>
          <w:p>
            <w:r>
              <w:t>Heavy Institutional Exit</w:t>
            </w:r>
          </w:p>
        </w:tc>
        <w:tc>
          <w:tcPr>
            <w:tcW w:type="dxa" w:w="2880"/>
          </w:tcPr>
          <w:p>
            <w:r>
              <w:t>red</w:t>
            </w:r>
          </w:p>
        </w:tc>
      </w:tr>
    </w:tbl>
    <w:p>
      <w:pPr/>
      <w:r>
        <w:t>A separate 7-day cumulative verdict is shown as the headline stat (Sustained Institutional Accumulation &gt; +$1B down to Sustained Institutional Distribution ≤ −$1B). Cross-signal tags (can stack): daily ≥$500M + rising Coinbase premium → “Dual Institutional Signal”; daily ≤−$500M + exchange inflow → “Institutional Exit Confirmed”; daily inflow + 7D price decline → “Accumulating Into Weakness”; daily outflow + 7D price gain → “Selling Into Strength”.</w:t>
      </w:r>
    </w:p>
    <w:p>
      <w:pPr/>
      <w:r>
        <w:t>What the user sees: headline = 7D net flow figure, verdict chip uses the daily verdict, a diverging green/red bar chart with a dashed price overlay. Slow-moving but hard to fake.</w:t>
      </w:r>
    </w:p>
    <w:p>
      <w:pPr>
        <w:pStyle w:val="Heading5"/>
      </w:pPr>
      <w:r>
        <w:t>2.7 Open Interest Trend</w:t>
      </w:r>
    </w:p>
    <w:p>
      <w:pPr/>
      <w:r>
        <w:t>What it is: total leveraged futures positions read against price direction.</w:t>
      </w:r>
    </w:p>
    <w:p>
      <w:pPr/>
      <w:r>
        <w:t>API: /api/futures/open-interest/aggregated-history + /api/futures/price/history (Binance). Cache: 300s / 120s.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OI direction</w:t>
            </w:r>
          </w:p>
        </w:tc>
        <w:tc>
          <w:tcPr>
            <w:tcW w:type="dxa" w:w="2160"/>
          </w:tcPr>
          <w:p>
            <w:r>
              <w:t>Price direction</w:t>
            </w:r>
          </w:p>
        </w:tc>
        <w:tc>
          <w:tcPr>
            <w:tcW w:type="dxa" w:w="2160"/>
          </w:tcPr>
          <w:p>
            <w:r>
              <w:t>Verdict</w:t>
            </w:r>
          </w:p>
        </w:tc>
        <w:tc>
          <w:tcPr>
            <w:tcW w:type="dxa" w:w="2160"/>
          </w:tcPr>
          <w:p>
            <w:r>
              <w:t>Color</w:t>
            </w:r>
          </w:p>
        </w:tc>
      </w:tr>
      <w:tr>
        <w:tc>
          <w:tcPr>
            <w:tcW w:type="dxa" w:w="2160"/>
          </w:tcPr>
          <w:p>
            <w:r>
              <w:t>Up</w:t>
            </w:r>
          </w:p>
        </w:tc>
        <w:tc>
          <w:tcPr>
            <w:tcW w:type="dxa" w:w="2160"/>
          </w:tcPr>
          <w:p>
            <w:r>
              <w:t>Up</w:t>
            </w:r>
          </w:p>
        </w:tc>
        <w:tc>
          <w:tcPr>
            <w:tcW w:type="dxa" w:w="2160"/>
          </w:tcPr>
          <w:p>
            <w:r>
              <w:t>Trend Strengthening</w:t>
            </w:r>
          </w:p>
        </w:tc>
        <w:tc>
          <w:tcPr>
            <w:tcW w:type="dxa" w:w="2160"/>
          </w:tcPr>
          <w:p>
            <w:r>
              <w:t>green</w:t>
            </w:r>
          </w:p>
        </w:tc>
      </w:tr>
      <w:tr>
        <w:tc>
          <w:tcPr>
            <w:tcW w:type="dxa" w:w="2160"/>
          </w:tcPr>
          <w:p>
            <w:r>
              <w:t>Up</w:t>
            </w:r>
          </w:p>
        </w:tc>
        <w:tc>
          <w:tcPr>
            <w:tcW w:type="dxa" w:w="2160"/>
          </w:tcPr>
          <w:p>
            <w:r>
              <w:t>Flat</w:t>
            </w:r>
          </w:p>
        </w:tc>
        <w:tc>
          <w:tcPr>
            <w:tcW w:type="dxa" w:w="2160"/>
          </w:tcPr>
          <w:p>
            <w:r>
              <w:t>Leverage Building</w:t>
            </w:r>
          </w:p>
        </w:tc>
        <w:tc>
          <w:tcPr>
            <w:tcW w:type="dxa" w:w="2160"/>
          </w:tcPr>
          <w:p>
            <w:r>
              <w:t>amber</w:t>
            </w:r>
          </w:p>
        </w:tc>
      </w:tr>
      <w:tr>
        <w:tc>
          <w:tcPr>
            <w:tcW w:type="dxa" w:w="2160"/>
          </w:tcPr>
          <w:p>
            <w:r>
              <w:t>Up</w:t>
            </w:r>
          </w:p>
        </w:tc>
        <w:tc>
          <w:tcPr>
            <w:tcW w:type="dxa" w:w="2160"/>
          </w:tcPr>
          <w:p>
            <w:r>
              <w:t>Down</w:t>
            </w:r>
          </w:p>
        </w:tc>
        <w:tc>
          <w:tcPr>
            <w:tcW w:type="dxa" w:w="2160"/>
          </w:tcPr>
          <w:p>
            <w:r>
              <w:t>Overleveraged Market</w:t>
            </w:r>
          </w:p>
        </w:tc>
        <w:tc>
          <w:tcPr>
            <w:tcW w:type="dxa" w:w="2160"/>
          </w:tcPr>
          <w:p>
            <w:r>
              <w:t>red</w:t>
            </w:r>
          </w:p>
        </w:tc>
      </w:tr>
      <w:tr>
        <w:tc>
          <w:tcPr>
            <w:tcW w:type="dxa" w:w="2160"/>
          </w:tcPr>
          <w:p>
            <w:r>
              <w:t>Down</w:t>
            </w:r>
          </w:p>
        </w:tc>
        <w:tc>
          <w:tcPr>
            <w:tcW w:type="dxa" w:w="2160"/>
          </w:tcPr>
          <w:p>
            <w:r>
              <w:t>Up</w:t>
            </w:r>
          </w:p>
        </w:tc>
        <w:tc>
          <w:tcPr>
            <w:tcW w:type="dxa" w:w="2160"/>
          </w:tcPr>
          <w:p>
            <w:r>
              <w:t>Short Covering Rally</w:t>
            </w:r>
          </w:p>
        </w:tc>
        <w:tc>
          <w:tcPr>
            <w:tcW w:type="dxa" w:w="2160"/>
          </w:tcPr>
          <w:p>
            <w:r>
              <w:t>amber</w:t>
            </w:r>
          </w:p>
        </w:tc>
      </w:tr>
      <w:tr>
        <w:tc>
          <w:tcPr>
            <w:tcW w:type="dxa" w:w="2160"/>
          </w:tcPr>
          <w:p>
            <w:r>
              <w:t>Down</w:t>
            </w:r>
          </w:p>
        </w:tc>
        <w:tc>
          <w:tcPr>
            <w:tcW w:type="dxa" w:w="2160"/>
          </w:tcPr>
          <w:p>
            <w:r>
              <w:t>Flat</w:t>
            </w:r>
          </w:p>
        </w:tc>
        <w:tc>
          <w:tcPr>
            <w:tcW w:type="dxa" w:w="2160"/>
          </w:tcPr>
          <w:p>
            <w:r>
              <w:t>Deleveraging</w:t>
            </w:r>
          </w:p>
        </w:tc>
        <w:tc>
          <w:tcPr>
            <w:tcW w:type="dxa" w:w="2160"/>
          </w:tcPr>
          <w:p>
            <w:r>
              <w:t>grey</w:t>
            </w:r>
          </w:p>
        </w:tc>
      </w:tr>
      <w:tr>
        <w:tc>
          <w:tcPr>
            <w:tcW w:type="dxa" w:w="2160"/>
          </w:tcPr>
          <w:p>
            <w:r>
              <w:t>Down</w:t>
            </w:r>
          </w:p>
        </w:tc>
        <w:tc>
          <w:tcPr>
            <w:tcW w:type="dxa" w:w="2160"/>
          </w:tcPr>
          <w:p>
            <w:r>
              <w:t>Down</w:t>
            </w:r>
          </w:p>
        </w:tc>
        <w:tc>
          <w:tcPr>
            <w:tcW w:type="dxa" w:w="2160"/>
          </w:tcPr>
          <w:p>
            <w:r>
              <w:t>Capitulation / Unwind</w:t>
            </w:r>
          </w:p>
        </w:tc>
        <w:tc>
          <w:tcPr>
            <w:tcW w:type="dxa" w:w="2160"/>
          </w:tcPr>
          <w:p>
            <w:r>
              <w:t>grey</w:t>
            </w:r>
          </w:p>
        </w:tc>
      </w:tr>
      <w:tr>
        <w:tc>
          <w:tcPr>
            <w:tcW w:type="dxa" w:w="2160"/>
          </w:tcPr>
          <w:p>
            <w:r>
              <w:t>Flat</w:t>
            </w:r>
          </w:p>
        </w:tc>
        <w:tc>
          <w:tcPr>
            <w:tcW w:type="dxa" w:w="2160"/>
          </w:tcPr>
          <w:p>
            <w:r>
              <w:t>any</w:t>
            </w:r>
          </w:p>
        </w:tc>
        <w:tc>
          <w:tcPr>
            <w:tcW w:type="dxa" w:w="2160"/>
          </w:tcPr>
          <w:p>
            <w:r>
              <w:t>Stable OI</w:t>
            </w:r>
          </w:p>
        </w:tc>
        <w:tc>
          <w:tcPr>
            <w:tcW w:type="dxa" w:w="2160"/>
          </w:tcPr>
          <w:p>
            <w:r>
              <w:t>grey</w:t>
            </w:r>
          </w:p>
        </w:tc>
      </w:tr>
    </w:tbl>
    <w:p>
      <w:pPr/>
      <w:r>
        <w:t>What the user sees: total OI + % change over range headline, a dual OI-vs-price chart with a shaded divergence region. Rising OI with rising price is a healthy trend; rising OI with falling price precedes a long-squeeze cascade.</w:t>
      </w:r>
    </w:p>
    <w:p>
      <w:pPr>
        <w:pStyle w:val="Heading5"/>
      </w:pPr>
      <w:r>
        <w:t>2.8 Stablecoin Supply</w:t>
      </w:r>
    </w:p>
    <w:p>
      <w:pPr/>
      <w:r>
        <w:t>What it is: combined circulating market cap of major stablecoins — a read of “dry powder” on the sidelines. Not asset-scoped.</w:t>
      </w:r>
    </w:p>
    <w:p>
      <w:pPr/>
      <w:r>
        <w:t>API: /api/index/stableCoin-marketCap-history. Cache: 1800s (the slowest-refreshing panel — treated as a macro indicator, not a trade trigger).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30D change</w:t>
            </w:r>
          </w:p>
        </w:tc>
        <w:tc>
          <w:tcPr>
            <w:tcW w:type="dxa" w:w="2880"/>
          </w:tcPr>
          <w:p>
            <w:r>
              <w:t>Verdict</w:t>
            </w:r>
          </w:p>
        </w:tc>
        <w:tc>
          <w:tcPr>
            <w:tcW w:type="dxa" w:w="2880"/>
          </w:tcPr>
          <w:p>
            <w:r>
              <w:t>Color</w:t>
            </w:r>
          </w:p>
        </w:tc>
      </w:tr>
      <w:tr>
        <w:tc>
          <w:tcPr>
            <w:tcW w:type="dxa" w:w="2880"/>
          </w:tcPr>
          <w:p>
            <w:r>
              <w:t>≥ +5%</w:t>
            </w:r>
          </w:p>
        </w:tc>
        <w:tc>
          <w:tcPr>
            <w:tcW w:type="dxa" w:w="2880"/>
          </w:tcPr>
          <w:p>
            <w:r>
              <w:t>Dry Powder Building</w:t>
            </w:r>
          </w:p>
        </w:tc>
        <w:tc>
          <w:tcPr>
            <w:tcW w:type="dxa" w:w="2880"/>
          </w:tcPr>
          <w:p>
            <w:r>
              <w:t>green</w:t>
            </w:r>
          </w:p>
        </w:tc>
      </w:tr>
      <w:tr>
        <w:tc>
          <w:tcPr>
            <w:tcW w:type="dxa" w:w="2880"/>
          </w:tcPr>
          <w:p>
            <w:r>
              <w:t>+1% to &lt;+5%</w:t>
            </w:r>
          </w:p>
        </w:tc>
        <w:tc>
          <w:tcPr>
            <w:tcW w:type="dxa" w:w="2880"/>
          </w:tcPr>
          <w:p>
            <w:r>
              <w:t>Mild Capital Inflow</w:t>
            </w:r>
          </w:p>
        </w:tc>
        <w:tc>
          <w:tcPr>
            <w:tcW w:type="dxa" w:w="2880"/>
          </w:tcPr>
          <w:p>
            <w:r>
              <w:t>grey-green</w:t>
            </w:r>
          </w:p>
        </w:tc>
      </w:tr>
      <w:tr>
        <w:tc>
          <w:tcPr>
            <w:tcW w:type="dxa" w:w="2880"/>
          </w:tcPr>
          <w:p>
            <w:r>
              <w:t>−1% to +1%</w:t>
            </w:r>
          </w:p>
        </w:tc>
        <w:tc>
          <w:tcPr>
            <w:tcW w:type="dxa" w:w="2880"/>
          </w:tcPr>
          <w:p>
            <w:r>
              <w:t>Neutral</w:t>
            </w:r>
          </w:p>
        </w:tc>
        <w:tc>
          <w:tcPr>
            <w:tcW w:type="dxa" w:w="2880"/>
          </w:tcPr>
          <w:p>
            <w:r>
              <w:t>grey</w:t>
            </w:r>
          </w:p>
        </w:tc>
      </w:tr>
      <w:tr>
        <w:tc>
          <w:tcPr>
            <w:tcW w:type="dxa" w:w="2880"/>
          </w:tcPr>
          <w:p>
            <w:r>
              <w:t>−5% to −1%</w:t>
            </w:r>
          </w:p>
        </w:tc>
        <w:tc>
          <w:tcPr>
            <w:tcW w:type="dxa" w:w="2880"/>
          </w:tcPr>
          <w:p>
            <w:r>
              <w:t>Capital Deploying</w:t>
            </w:r>
          </w:p>
        </w:tc>
        <w:tc>
          <w:tcPr>
            <w:tcW w:type="dxa" w:w="2880"/>
          </w:tcPr>
          <w:p>
            <w:r>
              <w:t>grey</w:t>
            </w:r>
          </w:p>
        </w:tc>
      </w:tr>
      <w:tr>
        <w:tc>
          <w:tcPr>
            <w:tcW w:type="dxa" w:w="2880"/>
          </w:tcPr>
          <w:p>
            <w:r>
              <w:t>≤ −5%</w:t>
            </w:r>
          </w:p>
        </w:tc>
        <w:tc>
          <w:tcPr>
            <w:tcW w:type="dxa" w:w="2880"/>
          </w:tcPr>
          <w:p>
            <w:r>
              <w:t>Stablecoin Drain</w:t>
            </w:r>
          </w:p>
        </w:tc>
        <w:tc>
          <w:tcPr>
            <w:tcW w:type="dxa" w:w="2880"/>
          </w:tcPr>
          <w:p>
            <w:r>
              <w:t>amber</w:t>
            </w:r>
          </w:p>
        </w:tc>
      </w:tr>
    </w:tbl>
    <w:p>
      <w:pPr/>
      <w:r>
        <w:t>What the user sees: total stablecoin cap + “30D {change}%” headline, a simple area chart, no price overlay. “Capital Deploying” is deliberately colored neutral grey since it can be bullish or bearish either way — the code makes no assumption.</w:t>
      </w:r>
    </w:p>
    <w:p>
      <w:pPr>
        <w:pStyle w:val="Heading5"/>
      </w:pPr>
      <w:r>
        <w:t>2.9 Spot Pulse (embedded panel)</w:t>
      </w:r>
    </w:p>
    <w:p>
      <w:pPr/>
      <w:r>
        <w:t xml:space="preserve">What it is: “where is real money moving?” — a grid of per-asset tiles comparing spot buying/selling vs. futures leverage vs. price, plus a market-wide read and up to 3 divergence alert cards. This is the one Spot Pulse panel in the product: it also appears as the Console preview (§1.4) and, since 9 Oct 2026, as Pro's Spot Pulse tab (Pro §5). The old standalone /world/spot-pulse page redirects here.</w:t>
      </w:r>
    </w:p>
    <w:p>
      <w:pPr/>
      <w:r>
        <w:t>API: /api/spot/aggregated-cvd/history · /api/futures/aggregated-cvd/history · /api/futures/price/history · /api/spot/netflow-list.</w:t>
      </w:r>
    </w:p>
    <w:p>
      <w:pPr/>
      <w:r>
        <w:t>Per-asset verdict (price_direction: &gt;+1% UP · −1..+1% FLAT · &lt;−1% DOWN; cvd_direction: beyond ±2% of the 7-day rolling std-dev of same-interval CVD deltas):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Price × Spot CVD × Futures CVD</w:t>
            </w:r>
          </w:p>
        </w:tc>
        <w:tc>
          <w:tcPr>
            <w:tcW w:type="dxa" w:w="2880"/>
          </w:tcPr>
          <w:p>
            <w:r>
              <w:t>Verdict</w:t>
            </w:r>
          </w:p>
        </w:tc>
        <w:tc>
          <w:tcPr>
            <w:tcW w:type="dxa" w:w="2880"/>
          </w:tcPr>
          <w:p>
            <w:r>
              <w:t>Color</w:t>
            </w:r>
          </w:p>
        </w:tc>
      </w:tr>
      <w:tr>
        <w:tc>
          <w:tcPr>
            <w:tcW w:type="dxa" w:w="2880"/>
          </w:tcPr>
          <w:p>
            <w:r>
              <w:t>UP × UP × UP, |spotΔ|/|futΔ| &gt; 0.4</w:t>
            </w:r>
          </w:p>
        </w:tc>
        <w:tc>
          <w:tcPr>
            <w:tcW w:type="dxa" w:w="2880"/>
          </w:tcPr>
          <w:p>
            <w:r>
              <w:t>REAL BUYING</w:t>
            </w:r>
          </w:p>
        </w:tc>
        <w:tc>
          <w:tcPr>
            <w:tcW w:type="dxa" w:w="2880"/>
          </w:tcPr>
          <w:p>
            <w:r>
              <w:t>bright green</w:t>
            </w:r>
          </w:p>
        </w:tc>
      </w:tr>
      <w:tr>
        <w:tc>
          <w:tcPr>
            <w:tcW w:type="dxa" w:w="2880"/>
          </w:tcPr>
          <w:p>
            <w:r>
              <w:t>UP × FLAT × UP</w:t>
            </w:r>
          </w:p>
        </w:tc>
        <w:tc>
          <w:tcPr>
            <w:tcW w:type="dxa" w:w="2880"/>
          </w:tcPr>
          <w:p>
            <w:r>
              <w:t>SPECULATIVE</w:t>
            </w:r>
          </w:p>
        </w:tc>
        <w:tc>
          <w:tcPr>
            <w:tcW w:type="dxa" w:w="2880"/>
          </w:tcPr>
          <w:p>
            <w:r>
              <w:t>amber</w:t>
            </w:r>
          </w:p>
        </w:tc>
      </w:tr>
      <w:tr>
        <w:tc>
          <w:tcPr>
            <w:tcW w:type="dxa" w:w="2880"/>
          </w:tcPr>
          <w:p>
            <w:r>
              <w:t>UP × DOWN × UP</w:t>
            </w:r>
          </w:p>
        </w:tc>
        <w:tc>
          <w:tcPr>
            <w:tcW w:type="dxa" w:w="2880"/>
          </w:tcPr>
          <w:p>
            <w:r>
              <w:t>DISTRIBUTION</w:t>
            </w:r>
          </w:p>
        </w:tc>
        <w:tc>
          <w:tcPr>
            <w:tcW w:type="dxa" w:w="2880"/>
          </w:tcPr>
          <w:p>
            <w:r>
              <w:t>red</w:t>
            </w:r>
          </w:p>
        </w:tc>
      </w:tr>
      <w:tr>
        <w:tc>
          <w:tcPr>
            <w:tcW w:type="dxa" w:w="2880"/>
          </w:tcPr>
          <w:p>
            <w:r>
              <w:t>FLAT × UP × any</w:t>
            </w:r>
          </w:p>
        </w:tc>
        <w:tc>
          <w:tcPr>
            <w:tcW w:type="dxa" w:w="2880"/>
          </w:tcPr>
          <w:p>
            <w:r>
              <w:t>ACCUMULATION</w:t>
            </w:r>
          </w:p>
        </w:tc>
        <w:tc>
          <w:tcPr>
            <w:tcW w:type="dxa" w:w="2880"/>
          </w:tcPr>
          <w:p>
            <w:r>
              <w:t>green @ 70% opacity</w:t>
            </w:r>
          </w:p>
        </w:tc>
      </w:tr>
      <w:tr>
        <w:tc>
          <w:tcPr>
            <w:tcW w:type="dxa" w:w="2880"/>
          </w:tcPr>
          <w:p>
            <w:r>
              <w:t>DOWN × UP × any</w:t>
            </w:r>
          </w:p>
        </w:tc>
        <w:tc>
          <w:tcPr>
            <w:tcW w:type="dxa" w:w="2880"/>
          </w:tcPr>
          <w:p>
            <w:r>
              <w:t>REVERSAL SETUP</w:t>
            </w:r>
          </w:p>
        </w:tc>
        <w:tc>
          <w:tcPr>
            <w:tcW w:type="dxa" w:w="2880"/>
          </w:tcPr>
          <w:p>
            <w:r>
              <w:t>green, glow border</w:t>
            </w:r>
          </w:p>
        </w:tc>
      </w:tr>
      <w:tr>
        <w:tc>
          <w:tcPr>
            <w:tcW w:type="dxa" w:w="2880"/>
          </w:tcPr>
          <w:p>
            <w:r>
              <w:t>DOWN × DOWN × DOWN</w:t>
            </w:r>
          </w:p>
        </w:tc>
        <w:tc>
          <w:tcPr>
            <w:tcW w:type="dxa" w:w="2880"/>
          </w:tcPr>
          <w:p>
            <w:r>
              <w:t>COHERENT DECLINE</w:t>
            </w:r>
          </w:p>
        </w:tc>
        <w:tc>
          <w:tcPr>
            <w:tcW w:type="dxa" w:w="2880"/>
          </w:tcPr>
          <w:p>
            <w:r>
              <w:t>muted red-grey</w:t>
            </w:r>
          </w:p>
        </w:tc>
      </w:tr>
      <w:tr>
        <w:tc>
          <w:tcPr>
            <w:tcW w:type="dxa" w:w="2880"/>
          </w:tcPr>
          <w:p>
            <w:r>
              <w:t>DOWN × FLAT × DOWN</w:t>
            </w:r>
          </w:p>
        </w:tc>
        <w:tc>
          <w:tcPr>
            <w:tcW w:type="dxa" w:w="2880"/>
          </w:tcPr>
          <w:p>
            <w:r>
              <w:t>FORCED DECLINE</w:t>
            </w:r>
          </w:p>
        </w:tc>
        <w:tc>
          <w:tcPr>
            <w:tcW w:type="dxa" w:w="2880"/>
          </w:tcPr>
          <w:p>
            <w:r>
              <w:t>amber @ 70% opacity</w:t>
            </w:r>
          </w:p>
        </w:tc>
      </w:tr>
      <w:tr>
        <w:tc>
          <w:tcPr>
            <w:tcW w:type="dxa" w:w="2880"/>
          </w:tcPr>
          <w:p>
            <w:r>
              <w:t>else</w:t>
            </w:r>
          </w:p>
        </w:tc>
        <w:tc>
          <w:tcPr>
            <w:tcW w:type="dxa" w:w="2880"/>
          </w:tcPr>
          <w:p>
            <w:r>
              <w:t>BALANCED</w:t>
            </w:r>
          </w:p>
        </w:tc>
        <w:tc>
          <w:tcPr>
            <w:tcW w:type="dxa" w:w="2880"/>
          </w:tcPr>
          <w:p>
            <w:r>
              <w:t>neutral dark</w:t>
            </w:r>
          </w:p>
        </w:tc>
      </w:tr>
    </w:tbl>
    <w:p>
      <w:pPr/>
      <w:r>
        <w:t>Market-wide verdict (Plus = 5 tiles): ≥3 tiles in {REAL BUYING, ACCUMULATION, REVERSAL SETUP} → “Broad Buying” · ≥2 SPECULATIVE → “Speculation Dominant” · ≥2 DISTRIBUTION → “Distribution Wave” · ≥2 ACCUMULATION with 0 DISTRIBUTION → “Selective Accumulation” · ≥2 in {COHERENT DECLINE, FORCED DECLINE} → “Broad Selloff” · else → “Mixed Market”. (Pro's thresholds scale for a 10-tile grid — see the Pro section for why they're currently unreachable.)</w:t>
      </w:r>
    </w:p>
    <w:p>
      <w:pPr/>
      <w:r>
        <w:t>Divergence alert cards (top 3 by score, BTC/ETH get ×1.3): DISTRIBUTION +5 · SPECULATIVE with spot/fut ratio &lt;0.2 +4 · ACCUMULATION within ±1% price +4 · REVERSAL SETUP +3 · REAL BUYING with spot CVD &gt;$50M +2.</w:t>
      </w:r>
    </w:p>
    <w:p>
      <w:pPr/>
      <w:r>
        <w:t>What the user sees: 5 colored tiles (asset, price, 24h%, verdict-tinted background), a market-wide verdict banner with a one-line sentence (hardcoded template today — no LLM key wired yet), up to 3 alert cards, footer stats. Arguably the single most useful “is this rally real” read on the platform.</w:t>
      </w:r>
    </w:p>
    <w:p>
      <w:pPr/>
      <w:r>
        <w:t>Live status note: the verdict engine is fully live. Per-asset spot VOLUME and Pro's dynamic Row-2 (top-5-by-volume) both need /api/spot/coins-markets, which is tier-locked on the current CoinGlass key — so today BOTH Plus and Pro render the same 5 fixed anchors (BTC/ETH/SOL/BNB/HYPE); Pro's Row 2 activates automatically once the plan is upgraded, no code change needed.</w:t>
      </w:r>
    </w:p>
    <w:p>
      <w:pPr>
        <w:pStyle w:val="Heading2"/>
      </w:pPr>
      <w:r>
        <w:t>3. Flow Radar</w:t>
      </w:r>
    </w:p>
    <w:p>
      <w:pPr/>
      <w:r>
        <w:t>Live event feed — what just happened in the market, as it happens.</w:t>
      </w:r>
    </w:p>
    <w:p>
      <w:pPr>
        <w:pStyle w:val="Heading3"/>
      </w:pPr>
      <w:r>
        <w:t>What it is</w:t>
      </w:r>
    </w:p>
    <w:p>
      <w:pPr/>
      <w:r>
        <w:t>A standalone, filterable live feed of large on-chain/exchange/liquidation/smart-money events, plus a market-wide verdict band summarizing the last 4H window.</w:t>
      </w:r>
    </w:p>
    <w:p>
      <w:pPr/>
      <w:r>
        <w:t xml:space="preserve">Plus tier scope: fixed 5-asset roster (BTC/ETH/SOL/BNB/HYPE), 4 event types, HIGH + MED severity only (LOW filtered server-side), and a 30-minute delay for non-Pro users (FREE_TIER_DELAY_MINUTES, default 30) — the page shows a “Delayed 30m” chip. Pro removes the delay, the roster limit and the severity filter.</w:t>
      </w:r>
    </w:p>
    <w:p>
      <w:pPr>
        <w:pStyle w:val="Heading3"/>
      </w:pPr>
      <w:r>
        <w:t>Where it is</w:t>
      </w:r>
    </w:p>
    <w:p>
      <w:pPr/>
      <w:r>
        <w:t>Tier: Plus.</w:t>
      </w:r>
    </w:p>
    <w:p>
      <w:pPr/>
      <w:r>
        <w:t>Nav path: Sidebar → Plus (group) → Flow Radar.</w:t>
      </w:r>
    </w:p>
    <w:p>
      <w:r>
        <w:drawing>
          <wp:inline xmlns:a="http://schemas.openxmlformats.org/drawingml/2006/main" xmlns:pic="http://schemas.openxmlformats.org/drawingml/2006/picture">
            <wp:extent cx="5760720" cy="3063240"/>
            <wp:docPr id="17" name="Picture 17"/>
            <wp:cNvGraphicFramePr>
              <a:graphicFrameLocks noChangeAspect="1"/>
            </wp:cNvGraphicFramePr>
            <a:graphic>
              <a:graphicData uri="http://schemas.openxmlformats.org/drawingml/2006/picture">
                <pic:pic>
                  <pic:nvPicPr>
                    <pic:cNvPr id="0" name="p03-flow-radar.png"/>
                    <pic:cNvPicPr/>
                  </pic:nvPicPr>
                  <pic:blipFill>
                    <a:blip r:embed="rId24"/>
                    <a:stretch>
                      <a:fillRect/>
                    </a:stretch>
                  </pic:blipFill>
                  <pic:spPr>
                    <a:xfrm>
                      <a:off x="0" y="0"/>
                      <a:ext cx="5760720" cy="3063240"/>
                    </a:xfrm>
                    <a:prstGeom prst="rect"/>
                  </pic:spPr>
                </pic:pic>
              </a:graphicData>
            </a:graphic>
          </wp:inline>
        </w:drawing>
      </w:r>
    </w:p>
    <w:p>
      <w:pPr/>
      <w:r>
        <w:rPr>
          <w:i/>
        </w:rPr>
        <w:t>Figure: Flow Radar — event-type filter chips, asset chips, severity toggle, verdict band, live feed.</w:t>
      </w:r>
    </w:p>
    <w:p>
      <w:pPr>
        <w:pStyle w:val="Heading3"/>
      </w:pPr>
      <w:r>
        <w:t>How the user uses it</w:t>
      </w:r>
    </w:p>
    <w:p>
      <w:pPr/>
      <w:r>
        <w:t>Toggle the 1H/4H/24H window; tick event-type chips (Whale Transfer / Exchange Flow / Liquidation Spike / Smart Money) and asset chips to filter; use the severity toggle (HIGH/MED) to control noise; read the verdict band for the window's overall lean; scroll the live feed list, which paginates as more events load.</w:t>
      </w:r>
    </w:p>
    <w:p>
      <w:pPr>
        <w:pStyle w:val="Heading3"/>
      </w:pPr>
      <w:r>
        <w:t>How we build it</w:t>
      </w:r>
    </w:p>
    <w:p>
      <w:pPr>
        <w:pStyle w:val="Heading4"/>
      </w:pPr>
      <w:r>
        <w:t>Via API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Event type</w:t>
            </w:r>
          </w:p>
        </w:tc>
        <w:tc>
          <w:tcPr>
            <w:tcW w:type="dxa" w:w="1728"/>
          </w:tcPr>
          <w:p>
            <w:r>
              <w:t>API</w:t>
            </w:r>
          </w:p>
        </w:tc>
        <w:tc>
          <w:tcPr>
            <w:tcW w:type="dxa" w:w="1728"/>
          </w:tcPr>
          <w:p>
            <w:r>
              <w:t>HIGH</w:t>
            </w:r>
          </w:p>
        </w:tc>
        <w:tc>
          <w:tcPr>
            <w:tcW w:type="dxa" w:w="1728"/>
          </w:tcPr>
          <w:p>
            <w:r>
              <w:t>MED</w:t>
            </w:r>
          </w:p>
        </w:tc>
        <w:tc>
          <w:tcPr>
            <w:tcW w:type="dxa" w:w="1728"/>
          </w:tcPr>
          <w:p>
            <w:r>
              <w:t>Direction logic</w:t>
            </w:r>
          </w:p>
        </w:tc>
      </w:tr>
      <w:tr>
        <w:tc>
          <w:tcPr>
            <w:tcW w:type="dxa" w:w="1728"/>
          </w:tcPr>
          <w:p>
            <w:r>
              <w:t>Whale Transfer</w:t>
            </w:r>
          </w:p>
        </w:tc>
        <w:tc>
          <w:tcPr>
            <w:tcW w:type="dxa" w:w="1728"/>
          </w:tcPr>
          <w:p>
            <w:r>
              <w:t>/api/chain/v2/whale-transfer</w:t>
            </w:r>
          </w:p>
        </w:tc>
        <w:tc>
          <w:tcPr>
            <w:tcW w:type="dxa" w:w="1728"/>
          </w:tcPr>
          <w:p>
            <w:r>
              <w:t>&gt; $100M</w:t>
            </w:r>
          </w:p>
        </w:tc>
        <w:tc>
          <w:tcPr>
            <w:tcW w:type="dxa" w:w="1728"/>
          </w:tcPr>
          <w:p>
            <w:r>
              <w:t>$10–100M</w:t>
            </w:r>
          </w:p>
        </w:tc>
        <w:tc>
          <w:tcPr>
            <w:tcW w:type="dxa" w:w="1728"/>
          </w:tcPr>
          <w:p>
            <w:r>
              <w:t>to exchange = Inflow (bearish) · from exchange = Outflow (bullish)</w:t>
            </w:r>
          </w:p>
        </w:tc>
      </w:tr>
      <w:tr>
        <w:tc>
          <w:tcPr>
            <w:tcW w:type="dxa" w:w="1728"/>
          </w:tcPr>
          <w:p>
            <w:r>
              <w:t>Exchange Flow</w:t>
            </w:r>
          </w:p>
        </w:tc>
        <w:tc>
          <w:tcPr>
            <w:tcW w:type="dxa" w:w="1728"/>
          </w:tcPr>
          <w:p>
            <w:r>
              <w:t>/api/exchange/chain/tx/list</w:t>
            </w:r>
          </w:p>
        </w:tc>
        <w:tc>
          <w:tcPr>
            <w:tcW w:type="dxa" w:w="1728"/>
          </w:tcPr>
          <w:p>
            <w:r>
              <w:t>&gt; $500M</w:t>
            </w:r>
          </w:p>
        </w:tc>
        <w:tc>
          <w:tcPr>
            <w:tcW w:type="dxa" w:w="1728"/>
          </w:tcPr>
          <w:p>
            <w:r>
              <w:t>$100–500M</w:t>
            </w:r>
          </w:p>
        </w:tc>
        <w:tc>
          <w:tcPr>
            <w:tcW w:type="dxa" w:w="1728"/>
          </w:tcPr>
          <w:p>
            <w:r>
              <w:t>net direction over a 1H rolling window</w:t>
            </w:r>
          </w:p>
        </w:tc>
      </w:tr>
      <w:tr>
        <w:tc>
          <w:tcPr>
            <w:tcW w:type="dxa" w:w="1728"/>
          </w:tcPr>
          <w:p>
            <w:r>
              <w:t>Liquidation Spike</w:t>
            </w:r>
          </w:p>
        </w:tc>
        <w:tc>
          <w:tcPr>
            <w:tcW w:type="dxa" w:w="1728"/>
          </w:tcPr>
          <w:p>
            <w:r>
              <w:t>/api/futures/liquidation/coin-list</w:t>
            </w:r>
          </w:p>
        </w:tc>
        <w:tc>
          <w:tcPr>
            <w:tcW w:type="dxa" w:w="1728"/>
          </w:tcPr>
          <w:p>
            <w:r>
              <w:t>&gt; $200M/h</w:t>
            </w:r>
          </w:p>
        </w:tc>
        <w:tc>
          <w:tcPr>
            <w:tcW w:type="dxa" w:w="1728"/>
          </w:tcPr>
          <w:p>
            <w:r>
              <w:t>$50–200M/h</w:t>
            </w:r>
          </w:p>
        </w:tc>
        <w:tc>
          <w:tcPr>
            <w:tcW w:type="dxa" w:w="1728"/>
          </w:tcPr>
          <w:p>
            <w:r>
              <w:t>always tagged “Sell Pressure” (doesn't yet distinguish long-flush vs short-squeeze direction at the event level)</w:t>
            </w:r>
          </w:p>
        </w:tc>
      </w:tr>
      <w:tr>
        <w:tc>
          <w:tcPr>
            <w:tcW w:type="dxa" w:w="1728"/>
          </w:tcPr>
          <w:p>
            <w:r>
              <w:t>Smart Money (Hyperliquid)</w:t>
            </w:r>
          </w:p>
        </w:tc>
        <w:tc>
          <w:tcPr>
            <w:tcW w:type="dxa" w:w="1728"/>
          </w:tcPr>
          <w:p>
            <w:r>
              <w:t>/api/hyperliquid/whale-alert</w:t>
            </w:r>
          </w:p>
        </w:tc>
        <w:tc>
          <w:tcPr>
            <w:tcW w:type="dxa" w:w="1728"/>
          </w:tcPr>
          <w:p>
            <w:r>
              <w:t>confidence &gt; 0.8</w:t>
            </w:r>
          </w:p>
        </w:tc>
        <w:tc>
          <w:tcPr>
            <w:tcW w:type="dxa" w:w="1728"/>
          </w:tcPr>
          <w:p>
            <w:r>
              <w:t>otherwise</w:t>
            </w:r>
          </w:p>
        </w:tc>
        <w:tc>
          <w:tcPr>
            <w:tcW w:type="dxa" w:w="1728"/>
          </w:tcPr>
          <w:p>
            <w:r>
              <w:t>open long = “Smart Money” (bullish) · open short/accumulation = “Accumulation”</w:t>
            </w:r>
          </w:p>
        </w:tc>
      </w:tr>
    </w:tbl>
    <w:p>
      <w:pPr/>
      <w:r>
        <w:t>Market Verdict Band — first match wins: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Condition</w:t>
            </w:r>
          </w:p>
        </w:tc>
        <w:tc>
          <w:tcPr>
            <w:tcW w:type="dxa" w:w="2880"/>
          </w:tcPr>
          <w:p>
            <w:r>
              <w:t>Verdict</w:t>
            </w:r>
          </w:p>
        </w:tc>
        <w:tc>
          <w:tcPr>
            <w:tcW w:type="dxa" w:w="2880"/>
          </w:tcPr>
          <w:p>
            <w:r>
              <w:t>Color</w:t>
            </w:r>
          </w:p>
        </w:tc>
      </w:tr>
      <w:tr>
        <w:tc>
          <w:tcPr>
            <w:tcW w:type="dxa" w:w="2880"/>
          </w:tcPr>
          <w:p>
            <w:r>
              <w:t>bearish $ &gt; $500M AND ≥3 bearish events</w:t>
            </w:r>
          </w:p>
        </w:tc>
        <w:tc>
          <w:tcPr>
            <w:tcW w:type="dxa" w:w="2880"/>
          </w:tcPr>
          <w:p>
            <w:r>
              <w:t>Distribution Wave</w:t>
            </w:r>
          </w:p>
        </w:tc>
        <w:tc>
          <w:tcPr>
            <w:tcW w:type="dxa" w:w="2880"/>
          </w:tcPr>
          <w:p>
            <w:r>
              <w:t>red</w:t>
            </w:r>
          </w:p>
        </w:tc>
      </w:tr>
      <w:tr>
        <w:tc>
          <w:tcPr>
            <w:tcW w:type="dxa" w:w="2880"/>
          </w:tcPr>
          <w:p>
            <w:r>
              <w:t>bullish $ &gt; $500M AND ≥3 bullish events</w:t>
            </w:r>
          </w:p>
        </w:tc>
        <w:tc>
          <w:tcPr>
            <w:tcW w:type="dxa" w:w="2880"/>
          </w:tcPr>
          <w:p>
            <w:r>
              <w:t>Broad Accumulation</w:t>
            </w:r>
          </w:p>
        </w:tc>
        <w:tc>
          <w:tcPr>
            <w:tcW w:type="dxa" w:w="2880"/>
          </w:tcPr>
          <w:p>
            <w:r>
              <w:t>green</w:t>
            </w:r>
          </w:p>
        </w:tc>
      </w:tr>
      <w:tr>
        <w:tc>
          <w:tcPr>
            <w:tcW w:type="dxa" w:w="2880"/>
          </w:tcPr>
          <w:p>
            <w:r>
              <w:t>total liquidation $ &gt; $300M</w:t>
            </w:r>
          </w:p>
        </w:tc>
        <w:tc>
          <w:tcPr>
            <w:tcW w:type="dxa" w:w="2880"/>
          </w:tcPr>
          <w:p>
            <w:r>
              <w:t>Liquidation Cascade Detected</w:t>
            </w:r>
          </w:p>
        </w:tc>
        <w:tc>
          <w:tcPr>
            <w:tcW w:type="dxa" w:w="2880"/>
          </w:tcPr>
          <w:p>
            <w:r>
              <w:t>amber</w:t>
            </w:r>
          </w:p>
        </w:tc>
      </w:tr>
      <w:tr>
        <w:tc>
          <w:tcPr>
            <w:tcW w:type="dxa" w:w="2880"/>
          </w:tcPr>
          <w:p>
            <w:r>
              <w:t>≥3 bullish AND ≥3 bearish events</w:t>
            </w:r>
          </w:p>
        </w:tc>
        <w:tc>
          <w:tcPr>
            <w:tcW w:type="dxa" w:w="2880"/>
          </w:tcPr>
          <w:p>
            <w:r>
              <w:t>Mixed Flow</w:t>
            </w:r>
          </w:p>
        </w:tc>
        <w:tc>
          <w:tcPr>
            <w:tcW w:type="dxa" w:w="2880"/>
          </w:tcPr>
          <w:p>
            <w:r>
              <w:t>grey</w:t>
            </w:r>
          </w:p>
        </w:tc>
      </w:tr>
      <w:tr>
        <w:tc>
          <w:tcPr>
            <w:tcW w:type="dxa" w:w="2880"/>
          </w:tcPr>
          <w:p>
            <w:r>
              <w:t>else</w:t>
            </w:r>
          </w:p>
        </w:tc>
        <w:tc>
          <w:tcPr>
            <w:tcW w:type="dxa" w:w="2880"/>
          </w:tcPr>
          <w:p>
            <w:r>
              <w:t>Quiet Flow</w:t>
            </w:r>
          </w:p>
        </w:tc>
        <w:tc>
          <w:tcPr>
            <w:tcW w:type="dxa" w:w="2880"/>
          </w:tcPr>
          <w:p>
            <w:r>
              <w:t>grey</w:t>
            </w:r>
          </w:p>
        </w:tc>
      </w:tr>
    </w:tbl>
    <w:p>
      <w:pPr/>
      <w:r>
        <w:t>Bullish-leaning directions: Outflow, Buy Pressure, Support Wall, Accumulation, Smart Money. Bearish-leaning: Inflow, Sell Pressure, Resistance Wall. Each verdict ships a matching sentence and a stat line. Whales and forced liquidations move first — surfacing them live, filtered to a manageable 5-asset roster, is Plus's stickiest single feature.</w:t>
      </w:r>
    </w:p>
    <w:p>
      <w:pPr/>
      <w:r>
        <w:t>Pro tier note: Pro removes the 5-asset roster restriction (full tracked universe already flows through the same bulk CoinGlass endpoints) and the severity filter (adds LOW), and layers two Pro-only additions — a Flow Balance Panel and cross-signal tags. See Pro §18.</w:t>
      </w:r>
    </w:p>
    <w:p>
      <w:pPr>
        <w:pStyle w:val="Heading2"/>
      </w:pPr>
      <w:r>
        <w:t>4. Fear &amp; Greed Index</w:t>
      </w:r>
    </w:p>
    <w:p>
      <w:pPr/>
      <w:r>
        <w:t>A composite of five sourced, dated factors — not a bare number.</w:t>
      </w:r>
    </w:p>
    <w:p>
      <w:pPr>
        <w:pStyle w:val="Heading3"/>
      </w:pPr>
      <w:r>
        <w:t>What it is</w:t>
      </w:r>
    </w:p>
    <w:p>
      <w:pPr/>
      <w:r>
        <w:t>A full standalone tab (vs. just the index bar on Console) — a 5-metric weighted composite scored 0–100, with historical context.</w:t>
      </w:r>
    </w:p>
    <w:p>
      <w:pPr>
        <w:pStyle w:val="Heading3"/>
      </w:pPr>
      <w:r>
        <w:t>Where it is</w:t>
      </w:r>
    </w:p>
    <w:p>
      <w:pPr/>
      <w:r>
        <w:t>Tier: Plus.</w:t>
      </w:r>
    </w:p>
    <w:p>
      <w:pPr/>
      <w:r>
        <w:t>Nav path: Sidebar → Plus (group) → Fear &amp; Greed.</w:t>
      </w:r>
    </w:p>
    <w:p>
      <w:r>
        <w:drawing>
          <wp:inline xmlns:a="http://schemas.openxmlformats.org/drawingml/2006/main" xmlns:pic="http://schemas.openxmlformats.org/drawingml/2006/picture">
            <wp:extent cx="5760720" cy="3063240"/>
            <wp:docPr id="18" name="Picture 18"/>
            <wp:cNvGraphicFramePr>
              <a:graphicFrameLocks noChangeAspect="1"/>
            </wp:cNvGraphicFramePr>
            <a:graphic>
              <a:graphicData uri="http://schemas.openxmlformats.org/drawingml/2006/picture">
                <pic:pic>
                  <pic:nvPicPr>
                    <pic:cNvPr id="0" name="p04-fear-greed.png"/>
                    <pic:cNvPicPr/>
                  </pic:nvPicPr>
                  <pic:blipFill>
                    <a:blip r:embed="rId25"/>
                    <a:stretch>
                      <a:fillRect/>
                    </a:stretch>
                  </pic:blipFill>
                  <pic:spPr>
                    <a:xfrm>
                      <a:off x="0" y="0"/>
                      <a:ext cx="5760720" cy="3063240"/>
                    </a:xfrm>
                    <a:prstGeom prst="rect"/>
                  </pic:spPr>
                </pic:pic>
              </a:graphicData>
            </a:graphic>
          </wp:inline>
        </w:drawing>
      </w:r>
    </w:p>
    <w:p>
      <w:pPr/>
      <w:r>
        <w:rPr>
          <w:i/>
        </w:rPr>
        <w:t>Figure: Fear &amp; Greed Index — circular gauge, 5 sub-metric tiles, historical trend chart.</w:t>
      </w:r>
    </w:p>
    <w:p>
      <w:pPr>
        <w:pStyle w:val="Heading3"/>
      </w:pPr>
      <w:r>
        <w:t>How the user uses it</w:t>
      </w:r>
    </w:p>
    <w:p>
      <w:pPr/>
      <w:r>
        <w:t>Read the circular gauge (score + label) and the 5 sub-metric tiles below it; click “How this works” to expand the methodology explainer; switch the historical chart's range (7D/30D/90D/1Y) to see the trend.</w:t>
      </w:r>
    </w:p>
    <w:p>
      <w:pPr>
        <w:pStyle w:val="Heading3"/>
      </w:pPr>
      <w:r>
        <w:t>How we build it</w:t>
      </w:r>
    </w:p>
    <w:p>
      <w:pPr>
        <w:pStyle w:val="Heading4"/>
      </w:pPr>
      <w:r>
        <w:t>Via API</w:t>
      </w:r>
    </w:p>
    <w:p>
      <w:pPr/>
      <w:r>
        <w:t>composite = Price Momentum×0.30 + Long/Short Sentiment×0.20 + Volatility×0.15 + Market Composition×0.20 + News Tone×0.15. Bands: 0–24 Extreme Fear · 25–45 Fear · 46–55 Neutral · 56–74 Greed · 75–100 Extreme Greed.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Sub-metric</w:t>
            </w:r>
          </w:p>
        </w:tc>
        <w:tc>
          <w:tcPr>
            <w:tcW w:type="dxa" w:w="2160"/>
          </w:tcPr>
          <w:p>
            <w:r>
              <w:t>Data source</w:t>
            </w:r>
          </w:p>
        </w:tc>
        <w:tc>
          <w:tcPr>
            <w:tcW w:type="dxa" w:w="2160"/>
          </w:tcPr>
          <w:p>
            <w:r>
              <w:t>Measures</w:t>
            </w:r>
          </w:p>
        </w:tc>
        <w:tc>
          <w:tcPr>
            <w:tcW w:type="dxa" w:w="2160"/>
          </w:tcPr>
          <w:p>
            <w:r>
              <w:t>Scoring</w:t>
            </w:r>
          </w:p>
        </w:tc>
      </w:tr>
      <w:tr>
        <w:tc>
          <w:tcPr>
            <w:tcW w:type="dxa" w:w="2160"/>
          </w:tcPr>
          <w:p>
            <w:r>
              <w:t>Price Momentum</w:t>
            </w:r>
          </w:p>
        </w:tc>
        <w:tc>
          <w:tcPr>
            <w:tcW w:type="dxa" w:w="2160"/>
          </w:tcPr>
          <w:p>
            <w:r>
              <w:t>Daily price history, weighted basket (BTC 50%/ETH 25%/SOL 10%/BNB 10%/HYPE 5%)</w:t>
            </w:r>
          </w:p>
        </w:tc>
        <w:tc>
          <w:tcPr>
            <w:tcW w:type="dxa" w:w="2160"/>
          </w:tcPr>
          <w:p>
            <w:r>
              <w:t>(price − 30D avg)/30D avg</w:t>
            </w:r>
          </w:p>
        </w:tc>
        <w:tc>
          <w:tcPr>
            <w:tcW w:type="dxa" w:w="2160"/>
          </w:tcPr>
          <w:p>
            <w:r>
              <w:t>&gt;+20%→95 · &gt;+10%→80 · −10..+10%→55 · ≥−20%→25 · else→5</w:t>
            </w:r>
          </w:p>
        </w:tc>
      </w:tr>
      <w:tr>
        <w:tc>
          <w:tcPr>
            <w:tcW w:type="dxa" w:w="2160"/>
          </w:tcPr>
          <w:p>
            <w:r>
              <w:t>Long/Short Sentiment</w:t>
            </w:r>
          </w:p>
        </w:tc>
        <w:tc>
          <w:tcPr>
            <w:tcW w:type="dxa" w:w="2160"/>
          </w:tcPr>
          <w:p>
            <w:r>
              <w:t>Long/short account ratio, same basket</w:t>
            </w:r>
          </w:p>
        </w:tc>
        <w:tc>
          <w:tcPr>
            <w:tcW w:type="dxa" w:w="2160"/>
          </w:tcPr>
          <w:p>
            <w:r>
              <w:t>% long, contrarian</w:t>
            </w:r>
          </w:p>
        </w:tc>
        <w:tc>
          <w:tcPr>
            <w:tcW w:type="dxa" w:w="2160"/>
          </w:tcPr>
          <w:p>
            <w:r>
              <w:t>&gt;75%→95 · &gt;65%→80 · &gt;55%→62 · 45–55%→47 · 35–45%→32 · 25–35%→17 · &lt;25%→5</w:t>
            </w:r>
          </w:p>
        </w:tc>
      </w:tr>
      <w:tr>
        <w:tc>
          <w:tcPr>
            <w:tcW w:type="dxa" w:w="2160"/>
          </w:tcPr>
          <w:p>
            <w:r>
              <w:t>Volatility (7D vs 30D)</w:t>
            </w:r>
          </w:p>
        </w:tc>
        <w:tc>
          <w:tcPr>
            <w:tcW w:type="dxa" w:w="2160"/>
          </w:tcPr>
          <w:p>
            <w:r>
              <w:t>OHLC history</w:t>
            </w:r>
          </w:p>
        </w:tc>
        <w:tc>
          <w:tcPr>
            <w:tcW w:type="dxa" w:w="2160"/>
          </w:tcPr>
          <w:p>
            <w:r>
              <w:t>7D realized vol ÷ 30D realized vol</w:t>
            </w:r>
          </w:p>
        </w:tc>
        <w:tc>
          <w:tcPr>
            <w:tcW w:type="dxa" w:w="2160"/>
          </w:tcPr>
          <w:p>
            <w:r>
              <w:t>&gt;1.5→7(High) · &gt;1.2→22(High) · &gt;0.9→50(Med) · &gt;0.7→70(Low) · else→90(Low)</w:t>
            </w:r>
          </w:p>
        </w:tc>
      </w:tr>
      <w:tr>
        <w:tc>
          <w:tcPr>
            <w:tcW w:type="dxa" w:w="2160"/>
          </w:tcPr>
          <w:p>
            <w:r>
              <w:t>Market Composition</w:t>
            </w:r>
          </w:p>
        </w:tc>
        <w:tc>
          <w:tcPr>
            <w:tcW w:type="dxa" w:w="2160"/>
          </w:tcPr>
          <w:p>
            <w:r>
              <w:t>Stablecoin market-cap index</w:t>
            </w:r>
          </w:p>
        </w:tc>
        <w:tc>
          <w:tcPr>
            <w:tcW w:type="dxa" w:w="2160"/>
          </w:tcPr>
          <w:p>
            <w:r>
              <w:t>7D stablecoin supply change, inverted</w:t>
            </w:r>
          </w:p>
        </w:tc>
        <w:tc>
          <w:tcPr>
            <w:tcW w:type="dxa" w:w="2160"/>
          </w:tcPr>
          <w:p>
            <w:r>
              <w:t>&gt;+$5B→7 · &gt;+$2B→25 · ±$2B→50 · ≥−$5B→75 · else→92</w:t>
            </w:r>
          </w:p>
        </w:tc>
      </w:tr>
      <w:tr>
        <w:tc>
          <w:tcPr>
            <w:tcW w:type="dxa" w:w="2160"/>
          </w:tcPr>
          <w:p>
            <w:r>
              <w:t>News Tone</w:t>
            </w:r>
          </w:p>
        </w:tc>
        <w:tc>
          <w:tcPr>
            <w:tcW w:type="dxa" w:w="2160"/>
          </w:tcPr>
          <w:p>
            <w:r>
              <w:t>Live Intelligence headlines, keyword heuristic (marked “Estimated” — no LLM classifier wired yet)</w:t>
            </w:r>
          </w:p>
        </w:tc>
        <w:tc>
          <w:tcPr>
            <w:tcW w:type="dxa" w:w="2160"/>
          </w:tcPr>
          <w:p>
            <w:r>
              <w:t>% recent headlines bullish</w:t>
            </w:r>
          </w:p>
        </w:tc>
        <w:tc>
          <w:tcPr>
            <w:tcW w:type="dxa" w:w="2160"/>
          </w:tcPr>
          <w:p>
            <w:r>
              <w:t>&gt;75%→92 · &gt;60%→75 · 40–60%→50 · 25–40%→27 · else→8</w:t>
            </w:r>
          </w:p>
        </w:tc>
      </w:tr>
    </w:tbl>
    <w:p>
      <w:pPr/>
      <w:r>
        <w:t xml:space="preserve">Known simplification: the historical chart plots the raw upstream Fear &amp; Greed index history as a proxy trend line, not a full backfill of the platform's own 5-metric composite.</w:t>
      </w:r>
    </w:p>
    <w:p>
      <w:pPr/>
      <w:r>
        <w:t xml:space="preserve">Fixed on 21 Sep 2026: the colour mapping was inverted in the rule engine (Extreme Greed rendered red, Extreme Fear green) — now Greed = green, Fear = red. The history chart has fixed colour bands (Extreme Fear 0–24 … Extreme Greed 76–100) and axis labels. Each sub-metric tile shows “unavailable” when its input fails, and the composite itself is flagged unavailable when all five inputs fail (no fake neutral 50). The one user-facing “CoinGlass” string was removed.</w:t>
      </w:r>
    </w:p>
    <w:p>
      <w:pPr>
        <w:pStyle w:val="Heading2"/>
      </w:pPr>
      <w:r>
        <w:t>5. Calendar</w:t>
      </w:r>
    </w:p>
    <w:p>
      <w:pPr/>
      <w:r>
        <w:t xml:space="preserve">The one Calendar for Plus and Pro: macro prints, token unlocks and Kumami team events on a month grid.</w:t>
      </w:r>
    </w:p>
    <w:p>
      <w:pPr>
        <w:pStyle w:val="Heading3"/>
      </w:pPr>
      <w:r>
        <w:t xml:space="preserve">What it is</w:t>
      </w:r>
    </w:p>
    <w:p>
      <w:pPr/>
      <w:r>
        <w:t xml:space="preserve">A month-grid calendar that merges three sources: macro economic releases and token unlocks from the market-data feed, plus events the Kumami team adds by hand in the admin panel (the spec's “editorial pipeline” for protocol events, Rachelle §7.1). Since 9 Oct 2026 it is the only calendar — Pro's old admin-only Calendar tab was merged into it, and its admin page now feeds this page.</w:t>
      </w:r>
    </w:p>
    <w:p>
      <w:pPr>
        <w:pStyle w:val="Heading3"/>
      </w:pPr>
      <w:r>
        <w:t xml:space="preserve">Where it is</w:t>
      </w:r>
    </w:p>
    <w:p>
      <w:pPr/>
      <w:r>
        <w:t xml:space="preserve">Tier: Plus and Pro (same page, same data for both).</w:t>
      </w:r>
    </w:p>
    <w:p>
      <w:pPr/>
      <w:r>
        <w:t xml:space="preserve">Nav path: Sidebar → Plus (group) → Calendar. Pro users see it through the included Plus group; old /world/pro?tab=calendar links (e.g. from the Daily Digest) redirect here.</w:t>
      </w:r>
    </w:p>
    <w:p>
      <w:r>
        <w:drawing>
          <wp:inline xmlns:a="http://schemas.openxmlformats.org/drawingml/2006/main" xmlns:pic="http://schemas.openxmlformats.org/drawingml/2006/picture">
            <wp:extent cx="5760720" cy="3063240"/>
            <wp:docPr id="19" name="Picture 19"/>
            <wp:cNvGraphicFramePr>
              <a:graphicFrameLocks noChangeAspect="1"/>
            </wp:cNvGraphicFramePr>
            <a:graphic>
              <a:graphicData uri="http://schemas.openxmlformats.org/drawingml/2006/picture">
                <pic:pic>
                  <pic:nvPicPr>
                    <pic:cNvPr id="0" name="p05-calendar.png"/>
                    <pic:cNvPicPr/>
                  </pic:nvPicPr>
                  <pic:blipFill>
                    <a:blip r:embed="rId26"/>
                    <a:stretch>
                      <a:fillRect/>
                    </a:stretch>
                  </pic:blipFill>
                  <pic:spPr>
                    <a:xfrm>
                      <a:off x="0" y="0"/>
                      <a:ext cx="5760720" cy="3063240"/>
                    </a:xfrm>
                    <a:prstGeom prst="rect"/>
                  </pic:spPr>
                </pic:pic>
              </a:graphicData>
            </a:graphic>
          </wp:inline>
        </w:drawing>
      </w:r>
    </w:p>
    <w:p>
      <w:pPr/>
      <w:r>
        <w:rPr>
          <w:i/>
        </w:rPr>
        <w:t xml:space="preserve">Figure (captured before the 21 Sep rebuild — shows the old list view; to be re-captured with the month grid).</w:t>
      </w:r>
    </w:p>
    <w:p>
      <w:pPr>
        <w:pStyle w:val="Heading3"/>
      </w:pPr>
      <w:r>
        <w:t xml:space="preserve">How the user uses it</w:t>
      </w:r>
    </w:p>
    <w:p>
      <w:pPr/>
      <w:r>
        <w:t xml:space="preserve">Read the “Next up” card at the top for the nearest upcoming event. Filter by type (All / Macro / Token Unlocks / Protocol &amp; other), by asset (BTC/ETH/SOL/BNB/HYPE) and by impact (HIGH/MED/LOW toggles). Move between months with ‹ ›. Each day cell shows up to 3 events — team events (marked ★) first, then by impact — with “+N more”; hover an event for its category, impact and description. Within 24 hours of a qualifying high-impact event a popup appears once (Dismiss hides it).</w:t>
      </w:r>
    </w:p>
    <w:p>
      <w:pPr>
        <w:pStyle w:val="Heading3"/>
      </w:pPr>
      <w:r>
        <w:t xml:space="preserve">How we build it</w:t>
      </w:r>
    </w:p>
    <w:p>
      <w:pPr>
        <w:pStyle w:val="Heading4"/>
      </w:pPr>
      <w:r>
        <w:t xml:space="preserve">Via API</w:t>
      </w:r>
    </w:p>
    <w:p>
      <w:pPr/>
      <w:r>
        <w:t xml:space="preserve">Macro events: /api/calendar/economic-data with start_time/end_time = 30 days back → 60 days ahead (without those parameters the endpoint only returns the past 30 days). Token unlocks: /api/coin/unlock-list. Both cached 1800s in the shared market cache (shared with Intelligence). The /api/market/calendar route itself is not cached so admin changes appear straight away. Each source fails independently to an empty list.</w:t>
      </w:r>
    </w:p>
    <w:tbl>
      <w:tblPr>
        <w:tblStyle w:val="LightGrid-Accent1"/>
        <w:tblW w:type="auto" w:w="0"/>
        <w:tblLook w:firstColumn="1" w:firstRow="1" w:lastColumn="0" w:lastRow="0" w:noHBand="0" w:noVBand="1" w:val="04A0"/>
      </w:tblPr>
      <w:tblGrid>
        <w:gridCol w:w="2700"/>
        <w:gridCol w:w="2300"/>
        <w:gridCol w:w="2000"/>
        <w:gridCol w:w="2000"/>
      </w:tblGrid>
      <w:tr>
        <w:tc>
          <w:tcPr>
            <w:tcW w:type="dxa" w:w="2700"/>
          </w:tcPr>
          <w:p>
            <w:pPr/>
            <w:r>
              <w:t xml:space="preserve">Event type</w:t>
            </w:r>
          </w:p>
        </w:tc>
        <w:tc>
          <w:tcPr>
            <w:tcW w:type="dxa" w:w="2300"/>
          </w:tcPr>
          <w:p>
            <w:pPr/>
            <w:r>
              <w:t xml:space="preserve">HIGH</w:t>
            </w:r>
          </w:p>
        </w:tc>
        <w:tc>
          <w:tcPr>
            <w:tcW w:type="dxa" w:w="2000"/>
          </w:tcPr>
          <w:p>
            <w:pPr/>
            <w:r>
              <w:t xml:space="preserve">MED</w:t>
            </w:r>
          </w:p>
        </w:tc>
        <w:tc>
          <w:tcPr>
            <w:tcW w:type="dxa" w:w="2000"/>
          </w:tcPr>
          <w:p>
            <w:pPr/>
            <w:r>
              <w:t xml:space="preserve">LOW</w:t>
            </w:r>
          </w:p>
        </w:tc>
      </w:tr>
      <w:tr>
        <w:tc>
          <w:tcPr>
            <w:tcW w:type="dxa" w:w="2700"/>
          </w:tcPr>
          <w:p>
            <w:pPr/>
            <w:r>
              <w:t xml:space="preserve">Macro (economic-data)</w:t>
            </w:r>
          </w:p>
        </w:tc>
        <w:tc>
          <w:tcPr>
            <w:tcW w:type="dxa" w:w="2300"/>
          </w:tcPr>
          <w:p>
            <w:pPr/>
            <w:r>
              <w:t xml:space="preserve">importance_level ≥ 3</w:t>
            </w:r>
          </w:p>
        </w:tc>
        <w:tc>
          <w:tcPr>
            <w:tcW w:type="dxa" w:w="2000"/>
          </w:tcPr>
          <w:p>
            <w:pPr/>
            <w:r>
              <w:t xml:space="preserve">importance_level = 2</w:t>
            </w:r>
          </w:p>
        </w:tc>
        <w:tc>
          <w:tcPr>
            <w:tcW w:type="dxa" w:w="2000"/>
          </w:tcPr>
          <w:p>
            <w:pPr/>
            <w:r>
              <w:t xml:space="preserve">importance_level ≤ 1</w:t>
            </w:r>
          </w:p>
        </w:tc>
      </w:tr>
      <w:tr>
        <w:tc>
          <w:tcPr>
            <w:tcW w:type="dxa" w:w="2700"/>
          </w:tcPr>
          <w:p>
            <w:pPr/>
            <w:r>
              <w:t xml:space="preserve">Token unlock (market cap &gt; $50M only)</w:t>
            </w:r>
          </w:p>
        </w:tc>
        <w:tc>
          <w:tcPr>
            <w:tcW w:type="dxa" w:w="2300"/>
          </w:tcPr>
          <w:p>
            <w:pPr/>
            <w:r>
              <w:t xml:space="preserve">next unlock ≥ 5% of circulating supply</w:t>
            </w:r>
          </w:p>
        </w:tc>
        <w:tc>
          <w:tcPr>
            <w:tcW w:type="dxa" w:w="2000"/>
          </w:tcPr>
          <w:p>
            <w:pPr/>
            <w:r>
              <w:t xml:space="preserve">1–5%</w:t>
            </w:r>
          </w:p>
        </w:tc>
        <w:tc>
          <w:tcPr>
            <w:tcW w:type="dxa" w:w="2000"/>
          </w:tcPr>
          <w:p>
            <w:pPr/>
            <w:r>
              <w:t xml:space="preserve">&lt; 1%</w:t>
            </w:r>
          </w:p>
        </w:tc>
      </w:tr>
      <w:tr>
        <w:tc>
          <w:tcPr>
            <w:tcW w:type="dxa" w:w="2700"/>
          </w:tcPr>
          <w:p>
            <w:pPr/>
            <w:r>
              <w:t xml:space="preserve">Kumami team event</w:t>
            </w:r>
          </w:p>
        </w:tc>
        <w:tc>
          <w:tcPr>
            <w:tcW w:type="dxa" w:w="2300"/>
          </w:tcPr>
          <w:p>
            <w:pPr/>
            <w:r>
              <w:t xml:space="preserve">Impact chosen by the admin</w:t>
            </w:r>
          </w:p>
        </w:tc>
        <w:tc>
          <w:tcPr>
            <w:tcW w:type="dxa" w:w="2000"/>
          </w:tcPr>
          <w:p>
            <w:pPr/>
            <w:r>
              <w:t xml:space="preserve"/>
            </w:r>
          </w:p>
        </w:tc>
        <w:tc>
          <w:tcPr>
            <w:tcW w:type="dxa" w:w="2000"/>
          </w:tcPr>
          <w:p>
            <w:pPr/>
            <w:r>
              <w:t xml:space="preserve"/>
            </w:r>
          </w:p>
        </w:tc>
      </w:tr>
    </w:tbl>
    <w:p>
      <w:pPr/>
      <w:r>
        <w:t xml:space="preserve">Macro events count as market-wide (tagged BTC). Unlocks are dated on next_unlock_date. Popup rule (D-1 popup here and the Console attention popup): HIGH impact AND an asset in BTC/ETH/SOL/BNB/HYPE — team-added HIGH events always qualify. Code: src/lib/market/rules/calendarEvents.ts (pure, unit-tested) and src/lib/market/live/calendarPage.ts.</w:t>
      </w:r>
    </w:p>
    <w:p>
      <w:pPr>
        <w:pStyle w:val="Heading4"/>
      </w:pPr>
      <w:r>
        <w:t xml:space="preserve">Via Admin Dashboard (manual)</w:t>
      </w:r>
    </w:p>
    <w:p>
      <w:pPr/>
      <w:r>
        <w:t xml:space="preserve">Firestore pro_calendar (collection name is historical), authored at Content → Pro Dashboard → Calendar (/admin/pro-calendar): Title, Date, Time in UTC (blank = all day), Impact (High/Medium/Low), Category (Macro / Token unlock / On-chain / Regulatory / Project / Other), Affected assets (optional, comma-separated), Description → Publish or Save Draft. Existing events are listed below with Edit and Delete. Only published events reach the Calendar; Macro and Token unlock categories file under those types, everything else under “Protocol &amp; other”. See Pro §14 for the admin screenshot.</w:t>
      </w:r>
    </w:p>
    <w:p>
      <w:pPr>
        <w:pStyle w:val="Heading4"/>
      </w:pPr>
      <w:r>
        <w:t xml:space="preserve">Known gaps</w:t>
      </w:r>
    </w:p>
    <w:p>
      <w:pPr>
        <w:pStyle w:val="ListBullet"/>
      </w:pPr>
      <w:r>
        <w:t xml:space="preserve">Token unlocks only ever show today's unlocks: on the current CoinGlass plan /api/coin/unlock-list returns rows whose next unlock is today (all 100 rows dated today on 9 Oct 2026). Future unlocks need a different endpoint or plan.</w:t>
      </w:r>
    </w:p>
    <w:p>
      <w:pPr>
        <w:pStyle w:val="ListBullet"/>
      </w:pPr>
      <w:r>
        <w:t xml:space="preserve">No day / week / list-view toggle — month grid only (Rachelle §7.2 asks for day/week/month + list).</w:t>
      </w:r>
    </w:p>
    <w:p>
      <w:pPr>
        <w:pStyle w:val="ListBullet"/>
      </w:pPr>
      <w:r>
        <w:t xml:space="preserve">The Today / This Week / Next 30D timeframe filter from the spec is not on the grid.</w:t>
      </w:r>
    </w:p>
    <w:p>
      <w:pPr>
        <w:pStyle w:val="ListBullet"/>
      </w:pPr>
      <w:r>
        <w:t xml:space="preserve">No “Add to my events” button on the popup, and the D-1 popup fires when this page is opened, not app-wide on next login (the Console popup covers the landing screen).</w:t>
      </w:r>
    </w:p>
    <w:p>
      <w:pPr>
        <w:pStyle w:val="ListBullet"/>
      </w:pPr>
      <w:r>
        <w:t xml:space="preserve">The feed has no protocol events; “Protocol &amp; other” only shows team-added events.</w:t>
      </w:r>
    </w:p>
    <w:p>
      <w:pPr>
        <w:pStyle w:val="ListBullet"/>
      </w:pPr>
      <w:r>
        <w:t xml:space="preserve">Console badge “CPI in 4h — expect volatility” (Rachelle §7.4) is not built; the attention popup is the closest equivalent.</w:t>
      </w:r>
    </w:p>
    <w:p>
      <w:pPr>
        <w:pStyle w:val="Heading2"/>
      </w:pPr>
      <w:r>
        <w:t>6. Watchlist</w:t>
      </w:r>
    </w:p>
    <w:p>
      <w:pPr/>
      <w:r>
        <w:t xml:space="preserve">Per-asset live price, a flow Signal and a risk Status — personalization is the Pro upsell.</w:t>
      </w:r>
    </w:p>
    <w:p>
      <w:pPr>
        <w:pStyle w:val="Heading3"/>
      </w:pPr>
      <w:r>
        <w:t>What it is</w:t>
      </w:r>
    </w:p>
    <w:p>
      <w:pPr/>
      <w:r>
        <w:t xml:space="preserve">A live table of the fixed Plus roster, each row showing price, 24h change, a Signal (the most notable flow story for that coin) and a Status (up to two risk/positioning tags plus a regime label).</w:t>
      </w:r>
    </w:p>
    <w:p>
      <w:pPr/>
      <w:r>
        <w:t xml:space="preserve">Asset roster: the same fixed 5-asset universe as the rest of Plus — BTC, ETH, SOL, BNB, HYPE — for every viewer (changed from an older 10-symbol list on 15 Sep 2026). The Console Watchlist preview reads exactly this data.</w:t>
      </w:r>
    </w:p>
    <w:p>
      <w:pPr>
        <w:pStyle w:val="Heading3"/>
      </w:pPr>
      <w:r>
        <w:t>Where it is</w:t>
      </w:r>
    </w:p>
    <w:p>
      <w:pPr/>
      <w:r>
        <w:t>Tier: Plus.</w:t>
      </w:r>
    </w:p>
    <w:p>
      <w:pPr/>
      <w:r>
        <w:t>Nav path: Sidebar → Plus (group) → Watchlist.</w:t>
      </w:r>
    </w:p>
    <w:p>
      <w:r>
        <w:drawing>
          <wp:inline xmlns:a="http://schemas.openxmlformats.org/drawingml/2006/main" xmlns:pic="http://schemas.openxmlformats.org/drawingml/2006/picture">
            <wp:extent cx="5760720" cy="3063240"/>
            <wp:docPr id="20" name="Picture 20"/>
            <wp:cNvGraphicFramePr>
              <a:graphicFrameLocks noChangeAspect="1"/>
            </wp:cNvGraphicFramePr>
            <a:graphic>
              <a:graphicData uri="http://schemas.openxmlformats.org/drawingml/2006/picture">
                <pic:pic>
                  <pic:nvPicPr>
                    <pic:cNvPr id="0" name="p06-watchlist.png"/>
                    <pic:cNvPicPr/>
                  </pic:nvPicPr>
                  <pic:blipFill>
                    <a:blip r:embed="rId27"/>
                    <a:stretch>
                      <a:fillRect/>
                    </a:stretch>
                  </pic:blipFill>
                  <pic:spPr>
                    <a:xfrm>
                      <a:off x="0" y="0"/>
                      <a:ext cx="5760720" cy="3063240"/>
                    </a:xfrm>
                    <a:prstGeom prst="rect"/>
                  </pic:spPr>
                </pic:pic>
              </a:graphicData>
            </a:graphic>
          </wp:inline>
        </w:drawing>
      </w:r>
    </w:p>
    <w:p>
      <w:pPr/>
      <w:r>
        <w:rPr>
          <w:i/>
        </w:rPr>
        <w:t xml:space="preserve">Figure (captured before the 21 Sep rebuild — shows a single “Flow signal” column; the live table now has separate Signal and Status columns).</w:t>
      </w:r>
    </w:p>
    <w:p>
      <w:pPr>
        <w:pStyle w:val="Heading3"/>
      </w:pPr>
      <w:r>
        <w:t>How the user uses it</w:t>
      </w:r>
    </w:p>
    <w:p>
      <w:pPr/>
      <w:r>
        <w:t xml:space="preserve">Read the table (Asset / Price / 24H / Signal / Status). Signal answers “is money moving into this?”; Status answers “is it risky right now?”. Plus viewers see the 5 assets read-only; “Your Watchlist” (pin your own tokens) and alerts are shown as Pro upsells (“Customize with Pro”, “Open Following &amp; Alerts”).</w:t>
      </w:r>
    </w:p>
    <w:p>
      <w:pPr>
        <w:pStyle w:val="Heading3"/>
      </w:pPr>
      <w:r>
        <w:t>How we build it</w:t>
      </w:r>
    </w:p>
    <w:p>
      <w:pPr>
        <w:pStyle w:val="Heading4"/>
      </w:pPr>
      <w:r>
        <w:t>Via API</w:t>
      </w:r>
    </w:p>
    <w:p>
      <w:pPr/>
      <w:r>
        <w:t>Per asset: Price + 24h: /api/futures/pairs-markets. Funding rate: /api/futures/funding-rate/oi-weight-history. Long/short ratio (perp assets only): /api/futures/global-long-short-account-ratio/history. Capped at 3 CoinGlass calls per asset; the whole payload is cached 300s per user.</w:t>
      </w:r>
    </w:p>
    <w:p>
      <w:pPr/>
      <w:r>
        <w:t>Up to 2 action tags per asset (most severe wins):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Signal</w:t>
            </w:r>
          </w:p>
        </w:tc>
        <w:tc>
          <w:tcPr>
            <w:tcW w:type="dxa" w:w="2880"/>
          </w:tcPr>
          <w:p>
            <w:r>
              <w:t>Tag (color)</w:t>
            </w:r>
          </w:p>
        </w:tc>
        <w:tc>
          <w:tcPr>
            <w:tcW w:type="dxa" w:w="2880"/>
          </w:tcPr>
          <w:p>
            <w:r>
              <w:t>Threshold</w:t>
            </w:r>
          </w:p>
        </w:tc>
      </w:tr>
      <w:tr>
        <w:tc>
          <w:tcPr>
            <w:tcW w:type="dxa" w:w="2880"/>
          </w:tcPr>
          <w:p>
            <w:r>
              <w:t>Funding rate</w:t>
            </w:r>
          </w:p>
        </w:tc>
        <w:tc>
          <w:tcPr>
            <w:tcW w:type="dxa" w:w="2880"/>
          </w:tcPr>
          <w:p>
            <w:r>
              <w:t>Overheated (red)</w:t>
            </w:r>
          </w:p>
        </w:tc>
        <w:tc>
          <w:tcPr>
            <w:tcW w:type="dxa" w:w="2880"/>
          </w:tcPr>
          <w:p>
            <w:r>
              <w:t>&gt; +0.10%</w:t>
            </w:r>
          </w:p>
        </w:tc>
      </w:tr>
      <w:tr>
        <w:tc>
          <w:tcPr>
            <w:tcW w:type="dxa" w:w="2880"/>
          </w:tcPr>
          <w:p>
            <w:r>
              <w:t>Funding rate</w:t>
            </w:r>
          </w:p>
        </w:tc>
        <w:tc>
          <w:tcPr>
            <w:tcW w:type="dxa" w:w="2880"/>
          </w:tcPr>
          <w:p>
            <w:r>
              <w:t>Short Heavy (amber)</w:t>
            </w:r>
          </w:p>
        </w:tc>
        <w:tc>
          <w:tcPr>
            <w:tcW w:type="dxa" w:w="2880"/>
          </w:tcPr>
          <w:p>
            <w:r>
              <w:t>&lt; 0%</w:t>
            </w:r>
          </w:p>
        </w:tc>
      </w:tr>
      <w:tr>
        <w:tc>
          <w:tcPr>
            <w:tcW w:type="dxa" w:w="2880"/>
          </w:tcPr>
          <w:p>
            <w:r>
              <w:t>Long/short ratio</w:t>
            </w:r>
          </w:p>
        </w:tc>
        <w:tc>
          <w:tcPr>
            <w:tcW w:type="dxa" w:w="2880"/>
          </w:tcPr>
          <w:p>
            <w:r>
              <w:t>Crowded Long (amber)</w:t>
            </w:r>
          </w:p>
        </w:tc>
        <w:tc>
          <w:tcPr>
            <w:tcW w:type="dxa" w:w="2880"/>
          </w:tcPr>
          <w:p>
            <w:r>
              <w:t>&gt; 70% long</w:t>
            </w:r>
          </w:p>
        </w:tc>
      </w:tr>
      <w:tr>
        <w:tc>
          <w:tcPr>
            <w:tcW w:type="dxa" w:w="2880"/>
          </w:tcPr>
          <w:p>
            <w:r>
              <w:t>Long/short ratio</w:t>
            </w:r>
          </w:p>
        </w:tc>
        <w:tc>
          <w:tcPr>
            <w:tcW w:type="dxa" w:w="2880"/>
          </w:tcPr>
          <w:p>
            <w:r>
              <w:t>Crowded Short (amber)</w:t>
            </w:r>
          </w:p>
        </w:tc>
        <w:tc>
          <w:tcPr>
            <w:tcW w:type="dxa" w:w="2880"/>
          </w:tcPr>
          <w:p>
            <w:r>
              <w:t>&lt; 30% long</w:t>
            </w:r>
          </w:p>
        </w:tc>
      </w:tr>
    </w:tbl>
    <w:p>
      <w:pPr/>
      <w:r>
        <w:t>Tie-break: red &gt; amber; within the same color, funding-rate tags outrank long/short tags. A separate, uncapped regime tag (Trending Up / Trending Down / Ranging) is derived from a same-direction approximation of OI vs. price (in practice “Coiling” can't occur live, since OI direction is approximated from price direction rather than fetched independently, to cap API call budget).</w:t>
      </w:r>
    </w:p>
    <w:p>
      <w:pPr/>
      <w:r>
        <w:t xml:space="preserve">Signal column (src/lib/market/rules/watchlistSignal.ts), first match wins: (1) whale flow and smart money aligned in the same direction → “Multi-signal”; (2) Whale Accumulation / Distribution (2+ whale transfers in 24h, with the real $ total as the detail line); (3) a notable Spot Pulse verdict for that coin; (4) “Quiet”. Whale tags are available to Plus (they were wrongly Pro-gated before 21 Sep).</w:t>
      </w:r>
    </w:p>
    <w:p>
      <w:pPr/>
      <w:r>
        <w:t xml:space="preserve">Known gap: liquidation-proximity tags (“Near Liq Zone” / “Watch Level”) exist in the rule engine but can't fire live — that data is tier-locked on the current CoinGlass plan.</w:t>
      </w:r>
    </w:p>
    <w:p>
      <w:pPr/>
      <w:r>
        <w:t>Pro tier note: Pro rebuilds this single table into 3 sections — a real user-editable pinned watchlist, this same curated table, and a new whale-flow-scored “Also Worth Watching” list. See Pro §19.</w:t>
      </w:r>
    </w:p>
    <w:p>
      <w:pPr>
        <w:pStyle w:val="Heading2"/>
      </w:pPr>
      <w:r>
        <w:t xml:space="preserve">7. Intelligence (removed from navigation)</w:t>
      </w:r>
    </w:p>
    <w:p>
      <w:pPr/>
      <w:r>
        <w:t xml:space="preserve">Retired as a Plus tab on 21 Sep 2026 — it is not in Rachelle's latest Plus navigation (Calendar took its slot).</w:t>
      </w:r>
    </w:p>
    <w:p>
      <w:pPr>
        <w:pStyle w:val="Heading3"/>
      </w:pPr>
      <w:r>
        <w:t xml:space="preserve">What happens now</w:t>
      </w:r>
    </w:p>
    <w:p>
      <w:pPr/>
      <w:r>
        <w:t xml:space="preserve">/world/intel redirects to the Console, so old links and bookmarks still land somewhere useful. The Console's Intelligence preview was replaced by the Calendar preview (§1.4).</w:t>
      </w:r>
    </w:p>
    <w:p>
      <w:pPr>
        <w:pStyle w:val="Heading3"/>
      </w:pPr>
      <w:r>
        <w:t xml:space="preserve">What still uses it</w:t>
      </w:r>
    </w:p>
    <w:p>
      <w:pPr/>
      <w:r>
        <w:t xml:space="preserve">The Intelligence engine (src/lib/market/live/intel.ts: news articles + macro calendar + unlocks scored into A/B/C briefs by impact × timing) still runs behind the scenes: its headlines feed the News Tone sub-metric of Fear &amp; Greed (§4). The detailed A/B/C rules are kept in v1.2 of this document.</w:t>
      </w:r>
    </w:p>
    <w:p>
      <w:pPr>
        <w:pStyle w:val="Heading2"/>
      </w:pPr>
      <w:r>
        <w:t>8. Settings</w:t>
      </w:r>
    </w:p>
    <w:p>
      <w:pPr/>
      <w:r>
        <w:t>Standard account management.</w:t>
      </w:r>
    </w:p>
    <w:p>
      <w:pPr>
        <w:pStyle w:val="Heading3"/>
      </w:pPr>
      <w:r>
        <w:t>What it is</w:t>
      </w:r>
    </w:p>
    <w:p>
      <w:pPr/>
      <w:r>
        <w:t>Profile, plan, notification preferences, language — a placeholder page today. Explicitly scoped as “not detailed in this brief — treat as placeholder pending separate spec,” so the current bare page is intentional, not a gap.</w:t>
      </w:r>
    </w:p>
    <w:p>
      <w:pPr>
        <w:pStyle w:val="Heading3"/>
      </w:pPr>
      <w:r>
        <w:t>Where it is</w:t>
      </w:r>
    </w:p>
    <w:p>
      <w:pPr/>
      <w:r>
        <w:t>Tier: Plus.</w:t>
      </w:r>
    </w:p>
    <w:p>
      <w:pPr/>
      <w:r>
        <w:t>Nav path: Sidebar → Plus (group) → Settings.</w:t>
      </w:r>
    </w:p>
    <w:p>
      <w:r>
        <w:drawing>
          <wp:inline xmlns:a="http://schemas.openxmlformats.org/drawingml/2006/main" xmlns:pic="http://schemas.openxmlformats.org/drawingml/2006/picture">
            <wp:extent cx="5760720" cy="3063240"/>
            <wp:docPr id="22" name="Picture 22"/>
            <wp:cNvGraphicFramePr>
              <a:graphicFrameLocks noChangeAspect="1"/>
            </wp:cNvGraphicFramePr>
            <a:graphic>
              <a:graphicData uri="http://schemas.openxmlformats.org/drawingml/2006/picture">
                <pic:pic>
                  <pic:nvPicPr>
                    <pic:cNvPr id="0" name="p08-settings.png"/>
                    <pic:cNvPicPr/>
                  </pic:nvPicPr>
                  <pic:blipFill>
                    <a:blip r:embed="rId29"/>
                    <a:stretch>
                      <a:fillRect/>
                    </a:stretch>
                  </pic:blipFill>
                  <pic:spPr>
                    <a:xfrm>
                      <a:off x="0" y="0"/>
                      <a:ext cx="5760720" cy="3063240"/>
                    </a:xfrm>
                    <a:prstGeom prst="rect"/>
                  </pic:spPr>
                </pic:pic>
              </a:graphicData>
            </a:graphic>
          </wp:inline>
        </w:drawing>
      </w:r>
    </w:p>
    <w:p>
      <w:pPr/>
      <w:r>
        <w:rPr>
          <w:i/>
        </w:rPr>
        <w:t>Figure: Settings — Coming Soon placeholder; profile/plan details currently live in the account menu instead.</w:t>
      </w:r>
    </w:p>
    <w:p>
      <w:pPr>
        <w:pStyle w:val="Heading3"/>
      </w:pPr>
      <w:r>
        <w:t>How the user uses it</w:t>
      </w:r>
    </w:p>
    <w:p>
      <w:pPr/>
      <w:r>
        <w:t>Nothing to configure yet — the page reads “Account, notification and preference controls are on the way; for now, profile and plan details live in the account menu in the bottom-left corner.” Click “Back to Home” to leave.</w:t>
      </w:r>
    </w:p>
    <w:p>
      <w:pPr>
        <w:pStyle w:val="Heading3"/>
      </w:pPr>
      <w:r>
        <w:t>How we build it</w:t>
      </w:r>
    </w:p>
    <w:p>
      <w:pPr>
        <w:pStyle w:val="Heading4"/>
      </w:pPr>
      <w:r>
        <w:t>Via Code only</w:t>
      </w:r>
    </w:p>
    <w:p>
      <w:pPr/>
      <w:r>
        <w:t>A static placeholder component — no Firestore, no API, no admin panel.</w:t>
      </w:r>
    </w:p>
    <w:p>
      <w:pPr>
        <w:pStyle w:val="Heading1"/>
      </w:pPr>
      <w:r>
        <w:t>Kumami Pro</w:t>
      </w:r>
    </w:p>
    <w:p>
      <w:pPr/>
      <w:r>
        <w:t xml:space="preserve">Kumami Pro sits at /world/pro. Its sidebar has 14 tabs: Daily Digest and Following &amp; Alerts at the top; News &amp; Signals (Real-Time News, Alpha Room, Kumami Research, Market Analysis); Tools (Spot Pulse, Security Scanner, Market Cap Comparison, Airdrops &amp; Whitelist); AI Tools (AI Portfolio, Crypto Address Tracker, Kuma AI Chat); and Events &amp; Announcements at the bottom. Pro users also get every Plus tool through the included Plus group — including the shared Calendar — with Pro-only depth on Flow Radar (§18) and Watchlist (§19). Security Scanner is the only remaining “Coming Soon” placeholder. Smart Money Tracker, Coin/Token Tracker and the Pro Fear &amp; Greed slot were removed on 21 Sep 2026 (§3, §4, §12), and Pro's Calendar tab was merged into the shared Calendar on 9 Oct 2026 (§14). Non-premium users never reach any of this — they see a locked teaser instead.</w:t>
      </w:r>
    </w:p>
    <w:p>
      <w:pPr>
        <w:pStyle w:val="Heading2"/>
      </w:pPr>
      <w:r>
        <w:t>1. Daily Digest</w:t>
      </w:r>
    </w:p>
    <w:p>
      <w:pPr/>
      <w:r>
        <w:t>Rolls up every other Pro tool onto one scannable feed.</w:t>
      </w:r>
    </w:p>
    <w:p>
      <w:pPr>
        <w:pStyle w:val="Heading3"/>
      </w:pPr>
      <w:r>
        <w:t>What it is</w:t>
      </w:r>
    </w:p>
    <w:p>
      <w:pPr/>
      <w:r>
        <w:t xml:space="preserve">Aggregates the latest Kumami Research (pro_research), Real-Time News (pro_news), Airdrops (pro_airdrops), upcoming team-added Calendar events (pro_calendar, filtered to today-forward, top 3 — the full Calendar with the market feed lives at Plus §5), and the latest Alpha Room messages (top 3, system/image messages filtered out). Pure aggregation/sort/slice — no calculation logic. Each section links out to its full tab.</w:t>
      </w:r>
    </w:p>
    <w:p>
      <w:pPr/>
      <w:r>
        <w:t>Disclosed gap: the component itself carries a static disclaimer: “Smart-money flow and a Fear &amp; Greed read will join this digest once the market-data integration is live” — i.e. it documents that two upstream feeds are intentionally not yet wired.</w:t>
      </w:r>
    </w:p>
    <w:p>
      <w:pPr>
        <w:pStyle w:val="Heading3"/>
      </w:pPr>
      <w:r>
        <w:t>Where it is</w:t>
      </w:r>
    </w:p>
    <w:p>
      <w:pPr/>
      <w:r>
        <w:t>Tier: Pro only. Non-premium users never reach any of this — they see a locked teaser instead.</w:t>
      </w:r>
    </w:p>
    <w:p>
      <w:pPr/>
      <w:r>
        <w:t>Nav path: Sidebar → Pro (workspace) → Pro → Daily Digest. Daily Digest is also the landing tab you reach first when you switch to the Pro workspace.</w:t>
      </w:r>
    </w:p>
    <w:p>
      <w:r>
        <w:drawing>
          <wp:inline xmlns:a="http://schemas.openxmlformats.org/drawingml/2006/main" xmlns:pic="http://schemas.openxmlformats.org/drawingml/2006/picture">
            <wp:extent cx="5760720" cy="3063240"/>
            <wp:docPr id="23" name="Picture 23"/>
            <wp:cNvGraphicFramePr>
              <a:graphicFrameLocks noChangeAspect="1"/>
            </wp:cNvGraphicFramePr>
            <a:graphic>
              <a:graphicData uri="http://schemas.openxmlformats.org/drawingml/2006/picture">
                <pic:pic>
                  <pic:nvPicPr>
                    <pic:cNvPr id="0" name="pr01-digest.png"/>
                    <pic:cNvPicPr/>
                  </pic:nvPicPr>
                  <pic:blipFill>
                    <a:blip r:embed="rId30"/>
                    <a:stretch>
                      <a:fillRect/>
                    </a:stretch>
                  </pic:blipFill>
                  <pic:spPr>
                    <a:xfrm>
                      <a:off x="0" y="0"/>
                      <a:ext cx="5760720" cy="3063240"/>
                    </a:xfrm>
                    <a:prstGeom prst="rect"/>
                  </pic:spPr>
                </pic:pic>
              </a:graphicData>
            </a:graphic>
          </wp:inline>
        </w:drawing>
      </w:r>
    </w:p>
    <w:p>
      <w:pPr/>
      <w:r>
        <w:rPr>
          <w:i/>
        </w:rPr>
        <w:t>Figure: Daily Pro Digest — rolled-up feed of Alpha Room, Real-Time News, Kumami Research, Airdrops, and Calendar, each linking to its own tab.</w:t>
      </w:r>
    </w:p>
    <w:p>
      <w:pPr>
        <w:pStyle w:val="Heading3"/>
      </w:pPr>
      <w:r>
        <w:t>How the user uses it</w:t>
      </w:r>
    </w:p>
    <w:p>
      <w:pPr/>
      <w:r>
        <w:t>Scroll the single feed for a rollup of everything new; click any section's link (“Open Alpha Room”, “Open Real-Time News”, etc.) to jump into that tab directly.</w:t>
      </w:r>
    </w:p>
    <w:p>
      <w:pPr>
        <w:pStyle w:val="Heading3"/>
      </w:pPr>
      <w:r>
        <w:t>How we build it</w:t>
      </w:r>
    </w:p>
    <w:p>
      <w:pPr>
        <w:pStyle w:val="Heading4"/>
      </w:pPr>
      <w:r>
        <w:t>Via Admin Dashboard (manual)</w:t>
      </w:r>
    </w:p>
    <w:p>
      <w:pPr/>
      <w:r>
        <w:t>Every source it aggregates is itself admin-authored — see Kumami Research (§13), Real-Time News (§10), Airdrops &amp; Whitelist (§7), Calendar (§14), and Alpha Room (§11) below for each one's own admin panel. Daily Digest has no admin panel of its own; it purely reads and re-sorts those five collections.</w:t>
      </w:r>
    </w:p>
    <w:p>
      <w:pPr>
        <w:pStyle w:val="Heading4"/>
      </w:pPr>
      <w:r>
        <w:t>Via API</w:t>
      </w:r>
    </w:p>
    <w:p>
      <w:pPr/>
      <w:r>
        <w:t>None.</w:t>
      </w:r>
    </w:p>
    <w:p>
      <w:pPr>
        <w:pStyle w:val="Heading2"/>
      </w:pPr>
      <w:r>
        <w:t>2. Following &amp; Alerts</w:t>
      </w:r>
    </w:p>
    <w:p>
      <w:pPr/>
      <w:r>
        <w:t>Per-user follow list + genuinely live price alerts.</w:t>
      </w:r>
    </w:p>
    <w:p>
      <w:pPr>
        <w:pStyle w:val="Heading3"/>
      </w:pPr>
      <w:r>
        <w:t>What it is</w:t>
      </w:r>
    </w:p>
    <w:p>
      <w:pPr/>
      <w:r>
        <w:t>A follow list + custom alerts persisted at users/{uid}/pro/state (Firestore). Price alerts are real: a public Binance WebSocket miniTicker stream covers 30 supported majors (BTC, ETH, SOL, BNB, XRP, DOGE, ADA, AVAX, LINK, MATIC, DOT, ARB, OP, LTC, TRX, NEAR, APT, SUI, TON, INJ, ATOM, UNI, AAVE, FIL, ETC, HBAR, ICP, RNDR, IMX, SEI).</w:t>
      </w:r>
    </w:p>
    <w:p>
      <w:pPr/>
      <w:r>
        <w:t>Known gap: volume/sentiment-based triggers exist in the UI but are explicitly labeled “live monitoring soon” — not implemented yet.</w:t>
      </w:r>
    </w:p>
    <w:p>
      <w:pPr>
        <w:pStyle w:val="Heading3"/>
      </w:pPr>
      <w:r>
        <w:t>Where it is</w:t>
      </w:r>
    </w:p>
    <w:p>
      <w:pPr/>
      <w:r>
        <w:t>Tier: Pro only. Non-premium users never reach any of this — they see a locked teaser instead.</w:t>
      </w:r>
    </w:p>
    <w:p>
      <w:pPr/>
      <w:r>
        <w:t>Nav path: Sidebar → Pro (workspace) → Pro → Following &amp; Alerts. Also linked from the Watchlist tab in Plus (“Open Following &amp; Alerts”).</w:t>
      </w:r>
    </w:p>
    <w:p>
      <w:r>
        <w:drawing>
          <wp:inline xmlns:a="http://schemas.openxmlformats.org/drawingml/2006/main" xmlns:pic="http://schemas.openxmlformats.org/drawingml/2006/picture">
            <wp:extent cx="5760720" cy="3063240"/>
            <wp:docPr id="24" name="Picture 24"/>
            <wp:cNvGraphicFramePr>
              <a:graphicFrameLocks noChangeAspect="1"/>
            </wp:cNvGraphicFramePr>
            <a:graphic>
              <a:graphicData uri="http://schemas.openxmlformats.org/drawingml/2006/picture">
                <pic:pic>
                  <pic:nvPicPr>
                    <pic:cNvPr id="0" name="pr02-followhub.png"/>
                    <pic:cNvPicPr/>
                  </pic:nvPicPr>
                  <pic:blipFill>
                    <a:blip r:embed="rId31"/>
                    <a:stretch>
                      <a:fillRect/>
                    </a:stretch>
                  </pic:blipFill>
                  <pic:spPr>
                    <a:xfrm>
                      <a:off x="0" y="0"/>
                      <a:ext cx="5760720" cy="3063240"/>
                    </a:xfrm>
                    <a:prstGeom prst="rect"/>
                  </pic:spPr>
                </pic:pic>
              </a:graphicData>
            </a:graphic>
          </wp:inline>
        </w:drawing>
      </w:r>
    </w:p>
    <w:p>
      <w:pPr/>
      <w:r>
        <w:rPr>
          <w:i/>
        </w:rPr>
        <w:t>Figure: Following &amp; Alerts — per-user follow list and price-alert configuration.</w:t>
      </w:r>
    </w:p>
    <w:p>
      <w:pPr>
        <w:pStyle w:val="Heading3"/>
      </w:pPr>
      <w:r>
        <w:t>How the user uses it</w:t>
      </w:r>
    </w:p>
    <w:p>
      <w:pPr/>
      <w:r>
        <w:t>Add assets to your follow list; set a price-move threshold per asset to arm an alert — it flips to TRIGGERED when the live price moves ≥ your threshold from the price it was armed at; click re-arm to reset the baseline.</w:t>
      </w:r>
    </w:p>
    <w:p>
      <w:pPr>
        <w:pStyle w:val="Heading3"/>
      </w:pPr>
      <w:r>
        <w:t>How we build it</w:t>
      </w:r>
    </w:p>
    <w:p>
      <w:pPr>
        <w:pStyle w:val="Heading4"/>
      </w:pPr>
      <w:r>
        <w:t>Via API</w:t>
      </w:r>
    </w:p>
    <w:p>
      <w:pPr/>
      <w:r>
        <w:t>A public Binance WebSocket miniTicker stream (no key required) drives live prices for all 30 supported symbols. An alert “arms” at the first live price seen and flips to TRIGGERED when |Δ%| ≥ the user's threshold.</w:t>
      </w:r>
    </w:p>
    <w:p>
      <w:pPr>
        <w:pStyle w:val="Heading4"/>
      </w:pPr>
      <w:r>
        <w:t>Via Admin Dashboard</w:t>
      </w:r>
    </w:p>
    <w:p>
      <w:pPr/>
      <w:r>
        <w:t>None — the follow list and alert thresholds are entirely user-configured, written straight to the user's own Firestore document (users/{uid}/pro/state).</w:t>
      </w:r>
    </w:p>
    <w:p>
      <w:pPr>
        <w:pStyle w:val="Heading2"/>
      </w:pPr>
      <w:r>
        <w:t xml:space="preserve">3. Smart Money Tracker (removed)</w:t>
      </w:r>
    </w:p>
    <w:p>
      <w:pPr/>
      <w:r>
        <w:t xml:space="preserve">Removed from the Pro navigation on 21 Sep 2026. It was a “Coming Soon” placeholder with no data source and is absent from Rachelle's latest mockup. Old ?tab=smartmoney links fall back to the Daily Digest.</w:t>
      </w:r>
    </w:p>
    <w:p>
      <w:pPr>
        <w:pStyle w:val="Heading2"/>
      </w:pPr>
      <w:r>
        <w:t xml:space="preserve">4. Coin / Token Tracker (removed)</w:t>
      </w:r>
    </w:p>
    <w:p>
      <w:pPr/>
      <w:r>
        <w:t xml:space="preserve">Removed from the Pro navigation on 21 Sep 2026 for the same reason as §3. Old links fall back to the Daily Digest.</w:t>
      </w:r>
    </w:p>
    <w:p>
      <w:pPr>
        <w:pStyle w:val="Heading2"/>
      </w:pPr>
      <w:r>
        <w:t>5. Spot Pulse</w:t>
      </w:r>
    </w:p>
    <w:p>
      <w:pPr/>
      <w:r>
        <w:t xml:space="preserve">Spot-vs-futures activity, per token — the same live panel as Plus.</w:t>
      </w:r>
    </w:p>
    <w:p>
      <w:pPr>
        <w:pStyle w:val="Heading3"/>
      </w:pPr>
      <w:r>
        <w:t xml:space="preserve">What it is</w:t>
      </w:r>
    </w:p>
    <w:p>
      <w:pPr/>
      <w:r>
        <w:t xml:space="preserve">Status: LIVE since 9 Oct 2026. The tab renders the exact Spot Pulse panel from Plus On-Chain Insights (Plus §2.9) — 5 anchor tiles (BTC/ETH/SOL/BNB/HYPE), market-wide verdict, divergence alert cards and the 4H/24H/7D timeframe switch — instead of the old “Coming Soon” card. One Spot Pulse for both tiers for now.</w:t>
      </w:r>
    </w:p>
    <w:p>
      <w:pPr/>
      <w:r>
        <w:t xml:space="preserve">What Pro gets on top today: a faster refresh (/api/market/spot-pulse caches 15s for Pro vs 60s for Plus). Pro's planned second row (top 5 trending coins by 24h spot volume) and its 10-tile verdict thresholds are already in the engine but stay off until the CoinGlass plan includes /api/spot/coins-markets.</w:t>
      </w:r>
    </w:p>
    <w:p>
      <w:pPr>
        <w:pStyle w:val="Heading3"/>
      </w:pPr>
      <w:r>
        <w:t xml:space="preserve">Where it is</w:t>
      </w:r>
    </w:p>
    <w:p>
      <w:pPr/>
      <w:r>
        <w:t xml:space="preserve">Tier: Pro only (Plus users see the same panel inside On-Chain Insights).</w:t>
      </w:r>
    </w:p>
    <w:p>
      <w:pPr/>
      <w:r>
        <w:t xml:space="preserve">Nav path: Sidebar → Pro (workspace) → Tools → Spot Pulse.</w:t>
      </w:r>
    </w:p>
    <w:p>
      <w:r>
        <w:drawing>
          <wp:inline xmlns:a="http://schemas.openxmlformats.org/drawingml/2006/main" xmlns:pic="http://schemas.openxmlformats.org/drawingml/2006/picture">
            <wp:extent cx="5760720" cy="3063240"/>
            <wp:docPr id="27" name="Picture 27"/>
            <wp:cNvGraphicFramePr>
              <a:graphicFrameLocks noChangeAspect="1"/>
            </wp:cNvGraphicFramePr>
            <a:graphic>
              <a:graphicData uri="http://schemas.openxmlformats.org/drawingml/2006/picture">
                <pic:pic>
                  <pic:nvPicPr>
                    <pic:cNvPr id="0" name="pr05-spotpulse.png"/>
                    <pic:cNvPicPr/>
                  </pic:nvPicPr>
                  <pic:blipFill>
                    <a:blip r:embed="rId34"/>
                    <a:stretch>
                      <a:fillRect/>
                    </a:stretch>
                  </pic:blipFill>
                  <pic:spPr>
                    <a:xfrm>
                      <a:off x="0" y="0"/>
                      <a:ext cx="5760720" cy="3063240"/>
                    </a:xfrm>
                    <a:prstGeom prst="rect"/>
                  </pic:spPr>
                </pic:pic>
              </a:graphicData>
            </a:graphic>
          </wp:inline>
        </w:drawing>
      </w:r>
    </w:p>
    <w:p>
      <w:pPr/>
      <w:r>
        <w:rPr>
          <w:i/>
        </w:rPr>
        <w:t xml:space="preserve">Figure (captured before 9 Oct — shows the old Coming Soon card; the tab now shows the live Spot Pulse panel).</w:t>
      </w:r>
    </w:p>
    <w:p>
      <w:pPr>
        <w:pStyle w:val="Heading3"/>
      </w:pPr>
      <w:r>
        <w:t xml:space="preserve">How the user uses it</w:t>
      </w:r>
    </w:p>
    <w:p>
      <w:pPr/>
      <w:r>
        <w:t xml:space="preserve">Pick a timeframe (4H/24H/7D), read the market-wide banner, then each coin's tile verdict (REAL BUYING, SPECULATIVE, DISTRIBUTION, ACCUMULATION, …) and the alert cards for the biggest divergences.</w:t>
      </w:r>
    </w:p>
    <w:p>
      <w:pPr>
        <w:pStyle w:val="Heading3"/>
      </w:pPr>
      <w:r>
        <w:t xml:space="preserve">How we build it</w:t>
      </w:r>
    </w:p>
    <w:p>
      <w:pPr>
        <w:pStyle w:val="Heading4"/>
      </w:pPr>
      <w:r>
        <w:t xml:space="preserve">Via API</w:t>
      </w:r>
    </w:p>
    <w:p>
      <w:pPr/>
      <w:r>
        <w:t xml:space="preserve">Same pipeline as Plus §2.9: /api/spot/aggregated-cvd/history · /api/futures/aggregated-cvd/history · /api/futures/price/history · /api/spot/netflow-list, served through /api/market/spot-pulse.</w:t>
      </w:r>
    </w:p>
    <w:p>
      <w:pPr>
        <w:pStyle w:val="Heading2"/>
      </w:pPr>
      <w:r>
        <w:t>6. Security Scanner</w:t>
      </w:r>
    </w:p>
    <w:p>
      <w:pPr/>
      <w:r>
        <w:t>Contract- and wallet-level risk scoring before you interact.</w:t>
      </w:r>
    </w:p>
    <w:p>
      <w:pPr>
        <w:pStyle w:val="Heading3"/>
      </w:pPr>
      <w:r>
        <w:t>What it is</w:t>
      </w:r>
    </w:p>
    <w:p>
      <w:pPr/>
      <w:r>
        <w:t>Status: PLACEHOLDER — renders the generic “Coming Soon” card. Copy references honeypots, mint authority, and LP locks; no data source wired.</w:t>
      </w:r>
    </w:p>
    <w:p>
      <w:pPr>
        <w:pStyle w:val="Heading3"/>
      </w:pPr>
      <w:r>
        <w:t>Where it is</w:t>
      </w:r>
    </w:p>
    <w:p>
      <w:pPr/>
      <w:r>
        <w:t>Tier: Pro only. Non-premium users never reach any of this — they see a locked teaser instead.</w:t>
      </w:r>
    </w:p>
    <w:p>
      <w:pPr/>
      <w:r>
        <w:t>Nav path: Sidebar → Pro (workspace) → Tools → Security Scanner.</w:t>
      </w:r>
    </w:p>
    <w:p>
      <w:r>
        <w:drawing>
          <wp:inline xmlns:a="http://schemas.openxmlformats.org/drawingml/2006/main" xmlns:pic="http://schemas.openxmlformats.org/drawingml/2006/picture">
            <wp:extent cx="5760720" cy="3063240"/>
            <wp:docPr id="28" name="Picture 28"/>
            <wp:cNvGraphicFramePr>
              <a:graphicFrameLocks noChangeAspect="1"/>
            </wp:cNvGraphicFramePr>
            <a:graphic>
              <a:graphicData uri="http://schemas.openxmlformats.org/drawingml/2006/picture">
                <pic:pic>
                  <pic:nvPicPr>
                    <pic:cNvPr id="0" name="pr06-scanner.png"/>
                    <pic:cNvPicPr/>
                  </pic:nvPicPr>
                  <pic:blipFill>
                    <a:blip r:embed="rId35"/>
                    <a:stretch>
                      <a:fillRect/>
                    </a:stretch>
                  </pic:blipFill>
                  <pic:spPr>
                    <a:xfrm>
                      <a:off x="0" y="0"/>
                      <a:ext cx="5760720" cy="3063240"/>
                    </a:xfrm>
                    <a:prstGeom prst="rect"/>
                  </pic:spPr>
                </pic:pic>
              </a:graphicData>
            </a:graphic>
          </wp:inline>
        </w:drawing>
      </w:r>
    </w:p>
    <w:p>
      <w:pPr/>
      <w:r>
        <w:rPr>
          <w:i/>
        </w:rPr>
        <w:t>Figure: Security Scanner — generic Coming Soon placeholder card.</w:t>
      </w:r>
    </w:p>
    <w:p>
      <w:pPr>
        <w:pStyle w:val="Heading3"/>
      </w:pPr>
      <w:r>
        <w:t>How the user uses it</w:t>
      </w:r>
    </w:p>
    <w:p>
      <w:pPr/>
      <w:r>
        <w:t>Nothing to interact with yet.</w:t>
      </w:r>
    </w:p>
    <w:p>
      <w:pPr>
        <w:pStyle w:val="Heading3"/>
      </w:pPr>
      <w:r>
        <w:t>How we build it</w:t>
      </w:r>
    </w:p>
    <w:p>
      <w:pPr>
        <w:pStyle w:val="Heading4"/>
      </w:pPr>
      <w:r>
        <w:t>Not built yet</w:t>
      </w:r>
    </w:p>
    <w:p>
      <w:pPr/>
      <w:r>
        <w:t>No Firestore, no API, no admin panel.</w:t>
      </w:r>
    </w:p>
    <w:p>
      <w:pPr>
        <w:pStyle w:val="Heading2"/>
      </w:pPr>
      <w:r>
        <w:t>7. Airdrops &amp; Whitelist</w:t>
      </w:r>
    </w:p>
    <w:p>
      <w:pPr/>
      <w:r>
        <w:t>Admin-curated airdrop and whitelist opportunities with an eligibility checklist.</w:t>
      </w:r>
    </w:p>
    <w:p>
      <w:pPr>
        <w:pStyle w:val="Heading3"/>
      </w:pPr>
      <w:r>
        <w:t>What it is</w:t>
      </w:r>
    </w:p>
    <w:p>
      <w:pPr/>
      <w:r>
        <w:t>Status: LIVE (Firestore, real-time). Reads pro_airdrops (status == 'published'). Two sub-tabs (Airdrops / Whitelists), card grid → detail view with an eligibility checklist, deadline, estimated value, and a Follow toggle. No scoring — purely admin-entered content, sorted by createdAt desc client-side.</w:t>
      </w:r>
    </w:p>
    <w:p>
      <w:pPr>
        <w:pStyle w:val="Heading3"/>
      </w:pPr>
      <w:r>
        <w:t>Where it is</w:t>
      </w:r>
    </w:p>
    <w:p>
      <w:pPr/>
      <w:r>
        <w:t>Tier: Pro only. Non-premium users never reach any of this — they see a locked teaser instead.</w:t>
      </w:r>
    </w:p>
    <w:p>
      <w:pPr/>
      <w:r>
        <w:t>Nav path: Sidebar → Pro (workspace) → Tools → Airdrops &amp; Whitelist.</w:t>
      </w:r>
    </w:p>
    <w:p>
      <w:r>
        <w:drawing>
          <wp:inline xmlns:a="http://schemas.openxmlformats.org/drawingml/2006/main" xmlns:pic="http://schemas.openxmlformats.org/drawingml/2006/picture">
            <wp:extent cx="5760720" cy="3063240"/>
            <wp:docPr id="29" name="Picture 29"/>
            <wp:cNvGraphicFramePr>
              <a:graphicFrameLocks noChangeAspect="1"/>
            </wp:cNvGraphicFramePr>
            <a:graphic>
              <a:graphicData uri="http://schemas.openxmlformats.org/drawingml/2006/picture">
                <pic:pic>
                  <pic:nvPicPr>
                    <pic:cNvPr id="0" name="pr07-airdrops.png"/>
                    <pic:cNvPicPr/>
                  </pic:nvPicPr>
                  <pic:blipFill>
                    <a:blip r:embed="rId36"/>
                    <a:stretch>
                      <a:fillRect/>
                    </a:stretch>
                  </pic:blipFill>
                  <pic:spPr>
                    <a:xfrm>
                      <a:off x="0" y="0"/>
                      <a:ext cx="5760720" cy="3063240"/>
                    </a:xfrm>
                    <a:prstGeom prst="rect"/>
                  </pic:spPr>
                </pic:pic>
              </a:graphicData>
            </a:graphic>
          </wp:inline>
        </w:drawing>
      </w:r>
    </w:p>
    <w:p>
      <w:pPr/>
      <w:r>
        <w:rPr>
          <w:i/>
        </w:rPr>
        <w:t>Figure: Airdrops &amp; Whitelist — Airdrops/Whitelists sub-tabs over a card grid.</w:t>
      </w:r>
    </w:p>
    <w:p>
      <w:pPr>
        <w:pStyle w:val="Heading3"/>
      </w:pPr>
      <w:r>
        <w:t>How the user uses it</w:t>
      </w:r>
    </w:p>
    <w:p>
      <w:pPr/>
      <w:r>
        <w:t>Switch between the Airdrops and Whitelists sub-tabs; click any card to open its detail view — deadline, estimated value, and an eligibility checklist; click Follow to track one.</w:t>
      </w:r>
    </w:p>
    <w:p>
      <w:pPr>
        <w:pStyle w:val="Heading3"/>
      </w:pPr>
      <w:r>
        <w:t>How we build it</w:t>
      </w:r>
    </w:p>
    <w:p>
      <w:pPr>
        <w:pStyle w:val="Heading4"/>
      </w:pPr>
      <w:r>
        <w:t>Via Admin Dashboard (manual)</w:t>
      </w:r>
    </w:p>
    <w:p>
      <w:pPr/>
      <w:r>
        <w:t>Firestore pro_airdrops, authored at Content → Pro Dashboard → Airdrops &amp; Whitelist (/admin/pro-airdrops): Name, Category (airdrop dropdown), Description, Deadline (free text, e.g. “2d 4h” or “Not live”), Estimated value, Eligibility (checklist type), Accent color, and an “+ Add checklist item” builder → Publish or Save Draft.</w:t>
      </w:r>
    </w:p>
    <w:p>
      <w:r>
        <w:drawing>
          <wp:inline xmlns:a="http://schemas.openxmlformats.org/drawingml/2006/main" xmlns:pic="http://schemas.openxmlformats.org/drawingml/2006/picture">
            <wp:extent cx="5760720" cy="3063240"/>
            <wp:docPr id="30" name="Picture 30"/>
            <wp:cNvGraphicFramePr>
              <a:graphicFrameLocks noChangeAspect="1"/>
            </wp:cNvGraphicFramePr>
            <a:graphic>
              <a:graphicData uri="http://schemas.openxmlformats.org/drawingml/2006/picture">
                <pic:pic>
                  <pic:nvPicPr>
                    <pic:cNvPr id="0" name="a01-pro-airdrops.png"/>
                    <pic:cNvPicPr/>
                  </pic:nvPicPr>
                  <pic:blipFill>
                    <a:blip r:embed="rId37"/>
                    <a:stretch>
                      <a:fillRect/>
                    </a:stretch>
                  </pic:blipFill>
                  <pic:spPr>
                    <a:xfrm>
                      <a:off x="0" y="0"/>
                      <a:ext cx="5760720" cy="3063240"/>
                    </a:xfrm>
                    <a:prstGeom prst="rect"/>
                  </pic:spPr>
                </pic:pic>
              </a:graphicData>
            </a:graphic>
          </wp:inline>
        </w:drawing>
      </w:r>
    </w:p>
    <w:p>
      <w:pPr/>
      <w:r>
        <w:rPr>
          <w:i/>
        </w:rPr>
        <w:t>Figure: Content → Pro Dashboard → Airdrops &amp; Whitelist — the admin form behind every Airdrops/Whitelist card.</w:t>
      </w:r>
    </w:p>
    <w:p>
      <w:pPr>
        <w:pStyle w:val="Heading2"/>
      </w:pPr>
      <w:r>
        <w:t>8. AI Portfolio</w:t>
      </w:r>
    </w:p>
    <w:p>
      <w:pPr/>
      <w:r>
        <w:t>Live holdings and pricing, plus an externally-scored risk scan.</w:t>
      </w:r>
    </w:p>
    <w:p>
      <w:pPr>
        <w:pStyle w:val="Heading3"/>
      </w:pPr>
      <w:r>
        <w:t>What it is</w:t>
      </w:r>
    </w:p>
    <w:p>
      <w:pPr/>
      <w:r>
        <w:t xml:space="preserve">Status: LIVE. Holdings read from users/{uid}.cryptoPortfolio (Firestore), priced live via /api/coingecko/markets (with 429 retry/backoff, plus a follow-up fetch for coins missing from the top-100 list). Add/Edit/Delete write straight back to Firestore. “Import Wallet” pulls live holdings from a pasted wallet address (same Alchemy wallet-scanning pipeline as the address tools) and merges them into the portfolio.</w:t>
      </w:r>
    </w:p>
    <w:p>
      <w:pPr/>
      <w:r>
        <w:t xml:space="preserve">24h change: a real weighted figure — each holding's value 24h ago is derived from its own 24h price change and summed, so the hero card shows the portfolio's true move (up or down). The earlier hard-coded +2.3% was removed.</w:t>
      </w:r>
    </w:p>
    <w:p>
      <w:pPr>
        <w:pStyle w:val="Heading3"/>
      </w:pPr>
      <w:r>
        <w:t>Where it is</w:t>
      </w:r>
    </w:p>
    <w:p>
      <w:pPr/>
      <w:r>
        <w:t>Tier: Pro only. Non-premium users never reach any of this — they see a locked teaser instead.</w:t>
      </w:r>
    </w:p>
    <w:p>
      <w:pPr/>
      <w:r>
        <w:t>Nav path: Sidebar → Pro (workspace) → AI Tools → AI Portfolio.</w:t>
      </w:r>
    </w:p>
    <w:p>
      <w:r>
        <w:drawing>
          <wp:inline xmlns:a="http://schemas.openxmlformats.org/drawingml/2006/main" xmlns:pic="http://schemas.openxmlformats.org/drawingml/2006/picture">
            <wp:extent cx="5760720" cy="3063240"/>
            <wp:docPr id="31" name="Picture 31"/>
            <wp:cNvGraphicFramePr>
              <a:graphicFrameLocks noChangeAspect="1"/>
            </wp:cNvGraphicFramePr>
            <a:graphic>
              <a:graphicData uri="http://schemas.openxmlformats.org/drawingml/2006/picture">
                <pic:pic>
                  <pic:nvPicPr>
                    <pic:cNvPr id="0" name="pr08-portfolio.png"/>
                    <pic:cNvPicPr/>
                  </pic:nvPicPr>
                  <pic:blipFill>
                    <a:blip r:embed="rId38"/>
                    <a:stretch>
                      <a:fillRect/>
                    </a:stretch>
                  </pic:blipFill>
                  <pic:spPr>
                    <a:xfrm>
                      <a:off x="0" y="0"/>
                      <a:ext cx="5760720" cy="3063240"/>
                    </a:xfrm>
                    <a:prstGeom prst="rect"/>
                  </pic:spPr>
                </pic:pic>
              </a:graphicData>
            </a:graphic>
          </wp:inline>
        </w:drawing>
      </w:r>
    </w:p>
    <w:p>
      <w:pPr/>
      <w:r>
        <w:rPr>
          <w:i/>
        </w:rPr>
        <w:t>Figure: AI Portfolio — total balance, holdings table, AI risk-read panel.</w:t>
      </w:r>
    </w:p>
    <w:p>
      <w:pPr>
        <w:pStyle w:val="Heading3"/>
      </w:pPr>
      <w:r>
        <w:t>How the user uses it</w:t>
      </w:r>
    </w:p>
    <w:p>
      <w:pPr/>
      <w:r>
        <w:t xml:space="preserve">Click “Add Asset” to log a coin, amount, and price paid, or “Import Wallet” to paste an address and pull its holdings; click Refresh to re-pull live prices; click a holding's “…” menu to edit or delete it. Click “Scan my portfolio” (or “Re-scan”) to get a risk read — the result caches until your holdings change.</w:t>
      </w:r>
    </w:p>
    <w:p>
      <w:pPr>
        <w:pStyle w:val="Heading3"/>
      </w:pPr>
      <w:r>
        <w:t>How we build it</w:t>
      </w:r>
    </w:p>
    <w:p>
      <w:pPr>
        <w:pStyle w:val="Heading4"/>
      </w:pPr>
      <w:r>
        <w:t>Via API</w:t>
      </w:r>
    </w:p>
    <w:p>
      <w:pPr/>
      <w:r>
        <w:t>Pricing: /api/coingecko/markets (429 retry/backoff). Risk scan: POST /api/portfolio-scan forwards {userId, totalValue, holdings[]} to an external n8n webhook (N8N_PORTFOLIO_SCAN_WEBHOOK_URL) and only validates/clamps the response shape (overall.score clamped 0–100, level clamped low/medium/high, dimensions limited to concentration/diversification/volatility/liquidity, actions capped at 4). The actual scoring logic — thresholds, weighting — lives outside this repo, in the n8n workflow; this codebase has no visibility into it. Results cache with a portfolio-hash staleness check (“Portfolio changed since this scan”).</w:t>
      </w:r>
    </w:p>
    <w:p>
      <w:pPr>
        <w:pStyle w:val="Heading4"/>
      </w:pPr>
      <w:r>
        <w:t>Via Admin Dashboard</w:t>
      </w:r>
    </w:p>
    <w:p>
      <w:pPr/>
      <w:r>
        <w:t>None — holdings are entirely user-entered, written straight to the user's own Firestore document.</w:t>
      </w:r>
    </w:p>
    <w:p>
      <w:pPr>
        <w:pStyle w:val="Heading2"/>
      </w:pPr>
      <w:r>
        <w:t>9. Market Cap Comparison</w:t>
      </w:r>
    </w:p>
    <w:p>
      <w:pPr/>
      <w:r>
        <w:t>“What if Coin A had Coin B's market cap?” — with real formulas.</w:t>
      </w:r>
    </w:p>
    <w:p>
      <w:pPr>
        <w:pStyle w:val="Heading3"/>
      </w:pPr>
      <w:r>
        <w:t>What it is</w:t>
      </w:r>
    </w:p>
    <w:p>
      <w:pPr/>
      <w:r>
        <w:t>Status: LIVE. Two searchable coin-selector dropdowns, a swap button, a stats comparison table (price/market cap/circulating supply/24h/rank/ATH/FDV), and an auto-generated insight sentence.</w:t>
      </w:r>
    </w:p>
    <w:p>
      <w:pPr>
        <w:pStyle w:val="Heading3"/>
      </w:pPr>
      <w:r>
        <w:t>Where it is</w:t>
      </w:r>
    </w:p>
    <w:p>
      <w:pPr/>
      <w:r>
        <w:t>Tier: Pro only. Non-premium users never reach any of this — they see a locked teaser instead.</w:t>
      </w:r>
    </w:p>
    <w:p>
      <w:pPr/>
      <w:r>
        <w:t>Nav path: Sidebar → Pro (workspace) → Tools → Market Cap Comparison.</w:t>
      </w:r>
    </w:p>
    <w:p>
      <w:r>
        <w:drawing>
          <wp:inline xmlns:a="http://schemas.openxmlformats.org/drawingml/2006/main" xmlns:pic="http://schemas.openxmlformats.org/drawingml/2006/picture">
            <wp:extent cx="5760720" cy="3063240"/>
            <wp:docPr id="32" name="Picture 32"/>
            <wp:cNvGraphicFramePr>
              <a:graphicFrameLocks noChangeAspect="1"/>
            </wp:cNvGraphicFramePr>
            <a:graphic>
              <a:graphicData uri="http://schemas.openxmlformats.org/drawingml/2006/picture">
                <pic:pic>
                  <pic:nvPicPr>
                    <pic:cNvPr id="0" name="pr09-marketcap.png"/>
                    <pic:cNvPicPr/>
                  </pic:nvPicPr>
                  <pic:blipFill>
                    <a:blip r:embed="rId39"/>
                    <a:stretch>
                      <a:fillRect/>
                    </a:stretch>
                  </pic:blipFill>
                  <pic:spPr>
                    <a:xfrm>
                      <a:off x="0" y="0"/>
                      <a:ext cx="5760720" cy="3063240"/>
                    </a:xfrm>
                    <a:prstGeom prst="rect"/>
                  </pic:spPr>
                </pic:pic>
              </a:graphicData>
            </a:graphic>
          </wp:inline>
        </w:drawing>
      </w:r>
    </w:p>
    <w:p>
      <w:pPr/>
      <w:r>
        <w:rPr>
          <w:i/>
        </w:rPr>
        <w:t>Figure: Market Cap Comparison — Coin A vs. Coin B selectors, swap button, stats table.</w:t>
      </w:r>
    </w:p>
    <w:p>
      <w:pPr>
        <w:pStyle w:val="Heading3"/>
      </w:pPr>
      <w:r>
        <w:t>How the user uses it</w:t>
      </w:r>
    </w:p>
    <w:p>
      <w:pPr/>
      <w:r>
        <w:t>Pick Coin A and Coin B from the two searchable dropdowns (defaults to XRP vs. BTC); click the swap button to flip them; read the comparison table and the auto-generated insight sentence below it.</w:t>
      </w:r>
    </w:p>
    <w:p>
      <w:pPr>
        <w:pStyle w:val="Heading3"/>
      </w:pPr>
      <w:r>
        <w:t>How we build it</w:t>
      </w:r>
    </w:p>
    <w:p>
      <w:pPr>
        <w:pStyle w:val="Heading4"/>
      </w:pPr>
      <w:r>
        <w:t>Via API</w:t>
      </w:r>
    </w:p>
    <w:p>
      <w:pPr/>
      <w:r>
        <w:t>/api/coingecko/markets (top 100 coins, 429 retry/backoff).</w:t>
      </w:r>
    </w:p>
    <w:p>
      <w:pPr/>
      <w:r>
        <w:t>How it's calculated: targetPrice = coinB.market_cap / coinA.circulating_supply · multiplier = targetPrice / coinA.current_price · pctChange = (targetPrice − current)/current × 100.</w:t>
      </w:r>
    </w:p>
    <w:p>
      <w:pPr>
        <w:pStyle w:val="Heading2"/>
      </w:pPr>
      <w:r>
        <w:t>10. Real-Time News</w:t>
      </w:r>
    </w:p>
    <w:p>
      <w:pPr/>
      <w:r>
        <w:t>Admin-curated, sentiment-tagged breaking news.</w:t>
      </w:r>
    </w:p>
    <w:p>
      <w:pPr>
        <w:pStyle w:val="Heading3"/>
      </w:pPr>
      <w:r>
        <w:t>What it is</w:t>
      </w:r>
    </w:p>
    <w:p>
      <w:pPr/>
      <w:r>
        <w:t>Status: LIVE (Firestore, real-time). Reads pro_news (status == 'published'). Each row: exact + relative time, headline with a sentiment dot (bull=green/bear=red/neutral=grey), one-line summary, tags, sentiment badge, source badge. Sorted newest-first.</w:t>
      </w:r>
    </w:p>
    <w:p>
      <w:pPr>
        <w:pStyle w:val="Heading3"/>
      </w:pPr>
      <w:r>
        <w:t>Where it is</w:t>
      </w:r>
    </w:p>
    <w:p>
      <w:pPr/>
      <w:r>
        <w:t>Tier: Pro only. Non-premium users never reach any of this — they see a locked teaser instead.</w:t>
      </w:r>
    </w:p>
    <w:p>
      <w:pPr/>
      <w:r>
        <w:t>Nav path: Sidebar → Pro (workspace) → News &amp; Signals → Real-Time News.</w:t>
      </w:r>
    </w:p>
    <w:p>
      <w:r>
        <w:drawing>
          <wp:inline xmlns:a="http://schemas.openxmlformats.org/drawingml/2006/main" xmlns:pic="http://schemas.openxmlformats.org/drawingml/2006/picture">
            <wp:extent cx="5760720" cy="3063240"/>
            <wp:docPr id="33" name="Picture 33"/>
            <wp:cNvGraphicFramePr>
              <a:graphicFrameLocks noChangeAspect="1"/>
            </wp:cNvGraphicFramePr>
            <a:graphic>
              <a:graphicData uri="http://schemas.openxmlformats.org/drawingml/2006/picture">
                <pic:pic>
                  <pic:nvPicPr>
                    <pic:cNvPr id="0" name="pr10-realtimenews.png"/>
                    <pic:cNvPicPr/>
                  </pic:nvPicPr>
                  <pic:blipFill>
                    <a:blip r:embed="rId40"/>
                    <a:stretch>
                      <a:fillRect/>
                    </a:stretch>
                  </pic:blipFill>
                  <pic:spPr>
                    <a:xfrm>
                      <a:off x="0" y="0"/>
                      <a:ext cx="5760720" cy="3063240"/>
                    </a:xfrm>
                    <a:prstGeom prst="rect"/>
                  </pic:spPr>
                </pic:pic>
              </a:graphicData>
            </a:graphic>
          </wp:inline>
        </w:drawing>
      </w:r>
    </w:p>
    <w:p>
      <w:pPr/>
      <w:r>
        <w:rPr>
          <w:i/>
        </w:rPr>
        <w:t>Figure: Real-Time News — sentiment-tagged headline list, newest first.</w:t>
      </w:r>
    </w:p>
    <w:p>
      <w:pPr>
        <w:pStyle w:val="Heading3"/>
      </w:pPr>
      <w:r>
        <w:t>How the user uses it</w:t>
      </w:r>
    </w:p>
    <w:p>
      <w:pPr/>
      <w:r>
        <w:t>Scroll the list; each row's sentiment dot (green/red/grey) gives an at-a-glance read before you even read the headline.</w:t>
      </w:r>
    </w:p>
    <w:p>
      <w:pPr>
        <w:pStyle w:val="Heading3"/>
      </w:pPr>
      <w:r>
        <w:t>How we build it</w:t>
      </w:r>
    </w:p>
    <w:p>
      <w:pPr>
        <w:pStyle w:val="Heading4"/>
      </w:pPr>
      <w:r>
        <w:t>Via Admin Dashboard (manual)</w:t>
      </w:r>
    </w:p>
    <w:p>
      <w:pPr/>
      <w:r>
        <w:t>Firestore pro_news, authored at Content → Pro Dashboard → Real-Time News (/admin/pro-news): Headline, Sentiment (Bullish/Bearish/Neutral dropdown), Source (optional), one-line summary (optional), comma-separated Tags (optional) → Publish or Save Draft.</w:t>
      </w:r>
    </w:p>
    <w:p>
      <w:r>
        <w:drawing>
          <wp:inline xmlns:a="http://schemas.openxmlformats.org/drawingml/2006/main" xmlns:pic="http://schemas.openxmlformats.org/drawingml/2006/picture">
            <wp:extent cx="5760720" cy="3063240"/>
            <wp:docPr id="34" name="Picture 34"/>
            <wp:cNvGraphicFramePr>
              <a:graphicFrameLocks noChangeAspect="1"/>
            </wp:cNvGraphicFramePr>
            <a:graphic>
              <a:graphicData uri="http://schemas.openxmlformats.org/drawingml/2006/picture">
                <pic:pic>
                  <pic:nvPicPr>
                    <pic:cNvPr id="0" name="a02-pro-news.png"/>
                    <pic:cNvPicPr/>
                  </pic:nvPicPr>
                  <pic:blipFill>
                    <a:blip r:embed="rId41"/>
                    <a:stretch>
                      <a:fillRect/>
                    </a:stretch>
                  </pic:blipFill>
                  <pic:spPr>
                    <a:xfrm>
                      <a:off x="0" y="0"/>
                      <a:ext cx="5760720" cy="3063240"/>
                    </a:xfrm>
                    <a:prstGeom prst="rect"/>
                  </pic:spPr>
                </pic:pic>
              </a:graphicData>
            </a:graphic>
          </wp:inline>
        </w:drawing>
      </w:r>
    </w:p>
    <w:p>
      <w:pPr/>
      <w:r>
        <w:rPr>
          <w:i/>
        </w:rPr>
        <w:t>Figure: Content → Pro Dashboard → Real-Time News — the admin form behind every headline.</w:t>
      </w:r>
    </w:p>
    <w:p>
      <w:pPr>
        <w:pStyle w:val="Heading2"/>
      </w:pPr>
      <w:r>
        <w:t>11. Alpha Room</w:t>
      </w:r>
    </w:p>
    <w:p>
      <w:pPr/>
      <w:r>
        <w:t>A chat-style feed of curated alpha calls.</w:t>
      </w:r>
    </w:p>
    <w:p>
      <w:pPr>
        <w:pStyle w:val="Heading3"/>
      </w:pPr>
      <w:r>
        <w:t>What it is</w:t>
      </w:r>
    </w:p>
    <w:p>
      <w:pPr/>
      <w:r>
        <w:t>Status: LIVE (Firestore, real-time, read-only in this component). Reads the alphaRoom collection as a chat-style feed — system messages (centered pill) and user/image messages (chat bubble, avatar, timestamp).</w:t>
      </w:r>
    </w:p>
    <w:p>
      <w:pPr>
        <w:pStyle w:val="Heading3"/>
      </w:pPr>
      <w:r>
        <w:t>Where it is</w:t>
      </w:r>
    </w:p>
    <w:p>
      <w:pPr/>
      <w:r>
        <w:t>Tier: Pro only. Non-premium users never reach any of this — they see a locked teaser instead.</w:t>
      </w:r>
    </w:p>
    <w:p>
      <w:pPr/>
      <w:r>
        <w:t>Nav path: Sidebar → Pro (workspace) → News &amp; Signals → Alpha Room.</w:t>
      </w:r>
    </w:p>
    <w:p>
      <w:r>
        <w:drawing>
          <wp:inline xmlns:a="http://schemas.openxmlformats.org/drawingml/2006/main" xmlns:pic="http://schemas.openxmlformats.org/drawingml/2006/picture">
            <wp:extent cx="5760720" cy="3063240"/>
            <wp:docPr id="35" name="Picture 35"/>
            <wp:cNvGraphicFramePr>
              <a:graphicFrameLocks noChangeAspect="1"/>
            </wp:cNvGraphicFramePr>
            <a:graphic>
              <a:graphicData uri="http://schemas.openxmlformats.org/drawingml/2006/picture">
                <pic:pic>
                  <pic:nvPicPr>
                    <pic:cNvPr id="0" name="pr11-alpha.png"/>
                    <pic:cNvPicPr/>
                  </pic:nvPicPr>
                  <pic:blipFill>
                    <a:blip r:embed="rId42"/>
                    <a:stretch>
                      <a:fillRect/>
                    </a:stretch>
                  </pic:blipFill>
                  <pic:spPr>
                    <a:xfrm>
                      <a:off x="0" y="0"/>
                      <a:ext cx="5760720" cy="3063240"/>
                    </a:xfrm>
                    <a:prstGeom prst="rect"/>
                  </pic:spPr>
                </pic:pic>
              </a:graphicData>
            </a:graphic>
          </wp:inline>
        </w:drawing>
      </w:r>
    </w:p>
    <w:p>
      <w:pPr/>
      <w:r>
        <w:rPr>
          <w:i/>
        </w:rPr>
        <w:t>Figure: Alpha Room — chat-style feed of curated alpha calls, read-only for Pro users.</w:t>
      </w:r>
    </w:p>
    <w:p>
      <w:pPr>
        <w:pStyle w:val="Heading3"/>
      </w:pPr>
      <w:r>
        <w:t>How the user uses it</w:t>
      </w:r>
    </w:p>
    <w:p>
      <w:pPr/>
      <w:r>
        <w:t>Read-only feed — scroll to see the latest posted calls. There is no way to post or reply from this tab.</w:t>
      </w:r>
    </w:p>
    <w:p>
      <w:pPr>
        <w:pStyle w:val="Heading3"/>
      </w:pPr>
      <w:r>
        <w:t>How we build it</w:t>
      </w:r>
    </w:p>
    <w:p>
      <w:pPr>
        <w:pStyle w:val="Heading4"/>
      </w:pPr>
      <w:r>
        <w:t>Via Admin Dashboard (manual)</w:t>
      </w:r>
    </w:p>
    <w:p>
      <w:pPr/>
      <w:r>
        <w:t>Firestore alphaRoom collection, authored at Management → Community → Alpha Room (/admin/alpha-room) — a chat-style composer where an admin types a message (or pastes/uploads an image) and sends it directly into the live feed as “Kumami World”. This resolves what the raw spec data left ambiguous (“presumably authored elsewhere”) — the admin panel is confirmed to be the actual write path, not a guess.</w:t>
      </w:r>
    </w:p>
    <w:p>
      <w:r>
        <w:drawing>
          <wp:inline xmlns:a="http://schemas.openxmlformats.org/drawingml/2006/main" xmlns:pic="http://schemas.openxmlformats.org/drawingml/2006/picture">
            <wp:extent cx="5760720" cy="3063240"/>
            <wp:docPr id="36" name="Picture 36"/>
            <wp:cNvGraphicFramePr>
              <a:graphicFrameLocks noChangeAspect="1"/>
            </wp:cNvGraphicFramePr>
            <a:graphic>
              <a:graphicData uri="http://schemas.openxmlformats.org/drawingml/2006/picture">
                <pic:pic>
                  <pic:nvPicPr>
                    <pic:cNvPr id="0" name="a07-alpha-room.png"/>
                    <pic:cNvPicPr/>
                  </pic:nvPicPr>
                  <pic:blipFill>
                    <a:blip r:embed="rId43"/>
                    <a:stretch>
                      <a:fillRect/>
                    </a:stretch>
                  </pic:blipFill>
                  <pic:spPr>
                    <a:xfrm>
                      <a:off x="0" y="0"/>
                      <a:ext cx="5760720" cy="3063240"/>
                    </a:xfrm>
                    <a:prstGeom prst="rect"/>
                  </pic:spPr>
                </pic:pic>
              </a:graphicData>
            </a:graphic>
          </wp:inline>
        </w:drawing>
      </w:r>
    </w:p>
    <w:p>
      <w:pPr/>
      <w:r>
        <w:rPr>
          <w:i/>
        </w:rPr>
        <w:t>Figure: Management → Community → Alpha Room — the admin chat composer that writes directly into the live Alpha Room feed.</w:t>
      </w:r>
    </w:p>
    <w:p>
      <w:pPr>
        <w:pStyle w:val="Heading2"/>
      </w:pPr>
      <w:r>
        <w:t xml:space="preserve">12. Fear &amp; Greed (removed from Pro)</w:t>
      </w:r>
    </w:p>
    <w:p>
      <w:pPr/>
      <w:r>
        <w:t xml:space="preserve">The Pro-only placeholder slot was removed on 21 Sep 2026. Pro users use the fully built Fear &amp; Greed tab in the included Plus group (Plus §4).</w:t>
      </w:r>
    </w:p>
    <w:p>
      <w:pPr>
        <w:pStyle w:val="Heading2"/>
      </w:pPr>
      <w:r>
        <w:t>13. Kumami Research</w:t>
      </w:r>
    </w:p>
    <w:p>
      <w:pPr/>
      <w:r>
        <w:t>Admin-authored research notes with a position call.</w:t>
      </w:r>
    </w:p>
    <w:p>
      <w:pPr>
        <w:pStyle w:val="Heading3"/>
      </w:pPr>
      <w:r>
        <w:t>What it is</w:t>
      </w:r>
    </w:p>
    <w:p>
      <w:pPr/>
      <w:r>
        <w:t>Status: LIVE (Firestore, real-time). Reads pro_research (status == 'published'). Each card: author name/role, relative timestamp, a position badge (long/short/neutral + asset), body text, and an optional “What this means for you” premium callout. No scoring — purely authored content.</w:t>
      </w:r>
    </w:p>
    <w:p>
      <w:pPr>
        <w:pStyle w:val="Heading3"/>
      </w:pPr>
      <w:r>
        <w:t>Where it is</w:t>
      </w:r>
    </w:p>
    <w:p>
      <w:pPr/>
      <w:r>
        <w:t>Tier: Pro only. Non-premium users never reach any of this — they see a locked teaser instead.</w:t>
      </w:r>
    </w:p>
    <w:p>
      <w:pPr/>
      <w:r>
        <w:t>Nav path: Sidebar → Pro (workspace) → News &amp; Signals → Kumami Research.</w:t>
      </w:r>
    </w:p>
    <w:p>
      <w:r>
        <w:drawing>
          <wp:inline xmlns:a="http://schemas.openxmlformats.org/drawingml/2006/main" xmlns:pic="http://schemas.openxmlformats.org/drawingml/2006/picture">
            <wp:extent cx="5760720" cy="3063240"/>
            <wp:docPr id="38" name="Picture 38"/>
            <wp:cNvGraphicFramePr>
              <a:graphicFrameLocks noChangeAspect="1"/>
            </wp:cNvGraphicFramePr>
            <a:graphic>
              <a:graphicData uri="http://schemas.openxmlformats.org/drawingml/2006/picture">
                <pic:pic>
                  <pic:nvPicPr>
                    <pic:cNvPr id="0" name="pr13-research.png"/>
                    <pic:cNvPicPr/>
                  </pic:nvPicPr>
                  <pic:blipFill>
                    <a:blip r:embed="rId45"/>
                    <a:stretch>
                      <a:fillRect/>
                    </a:stretch>
                  </pic:blipFill>
                  <pic:spPr>
                    <a:xfrm>
                      <a:off x="0" y="0"/>
                      <a:ext cx="5760720" cy="3063240"/>
                    </a:xfrm>
                    <a:prstGeom prst="rect"/>
                  </pic:spPr>
                </pic:pic>
              </a:graphicData>
            </a:graphic>
          </wp:inline>
        </w:drawing>
      </w:r>
    </w:p>
    <w:p>
      <w:pPr/>
      <w:r>
        <w:rPr>
          <w:i/>
        </w:rPr>
        <w:t>Figure: Kumami Research — author cards with a position badge and body text.</w:t>
      </w:r>
    </w:p>
    <w:p>
      <w:pPr>
        <w:pStyle w:val="Heading3"/>
      </w:pPr>
      <w:r>
        <w:t>How the user uses it</w:t>
      </w:r>
    </w:p>
    <w:p>
      <w:pPr/>
      <w:r>
        <w:t>Scroll the card feed; each card states its author, a long/short/neutral position badge on a specific asset, the reasoning, and (when present) a “What this means for you” callout.</w:t>
      </w:r>
    </w:p>
    <w:p>
      <w:pPr>
        <w:pStyle w:val="Heading3"/>
      </w:pPr>
      <w:r>
        <w:t>How we build it</w:t>
      </w:r>
    </w:p>
    <w:p>
      <w:pPr>
        <w:pStyle w:val="Heading4"/>
      </w:pPr>
      <w:r>
        <w:t>Via Admin Dashboard (manual)</w:t>
      </w:r>
    </w:p>
    <w:p>
      <w:pPr/>
      <w:r>
        <w:t>Firestore pro_research, authored at Content → Pro Dashboard → Kumami Research (/admin/pro-research): Analyst name, Role/title, Position (long/short/neutral dropdown), Asset/ticker, “The call” body text, and an optional “What this means for you” field → Publish or Save Draft.</w:t>
      </w:r>
    </w:p>
    <w:p>
      <w:r>
        <w:drawing>
          <wp:inline xmlns:a="http://schemas.openxmlformats.org/drawingml/2006/main" xmlns:pic="http://schemas.openxmlformats.org/drawingml/2006/picture">
            <wp:extent cx="5760720" cy="3063240"/>
            <wp:docPr id="39" name="Picture 39"/>
            <wp:cNvGraphicFramePr>
              <a:graphicFrameLocks noChangeAspect="1"/>
            </wp:cNvGraphicFramePr>
            <a:graphic>
              <a:graphicData uri="http://schemas.openxmlformats.org/drawingml/2006/picture">
                <pic:pic>
                  <pic:nvPicPr>
                    <pic:cNvPr id="0" name="a03-pro-research.png"/>
                    <pic:cNvPicPr/>
                  </pic:nvPicPr>
                  <pic:blipFill>
                    <a:blip r:embed="rId46"/>
                    <a:stretch>
                      <a:fillRect/>
                    </a:stretch>
                  </pic:blipFill>
                  <pic:spPr>
                    <a:xfrm>
                      <a:off x="0" y="0"/>
                      <a:ext cx="5760720" cy="3063240"/>
                    </a:xfrm>
                    <a:prstGeom prst="rect"/>
                  </pic:spPr>
                </pic:pic>
              </a:graphicData>
            </a:graphic>
          </wp:inline>
        </w:drawing>
      </w:r>
    </w:p>
    <w:p>
      <w:pPr/>
      <w:r>
        <w:rPr>
          <w:i/>
        </w:rPr>
        <w:t>Figure: Content → Pro Dashboard → Kumami Research — the admin form behind every research card.</w:t>
      </w:r>
    </w:p>
    <w:p>
      <w:pPr>
        <w:pStyle w:val="Heading2"/>
      </w:pPr>
      <w:r>
        <w:t xml:space="preserve">14. Calendar (merged into the shared Calendar)</w:t>
      </w:r>
    </w:p>
    <w:p>
      <w:pPr/>
      <w:r>
        <w:t xml:space="preserve">Since 9 Oct 2026 Pro no longer has its own Calendar tab. Product decision (Andrew, 9 Oct 2026): one calendar — the Plus one — for everyone — with the admin-authored events from this tab merged into it.</w:t>
      </w:r>
    </w:p>
    <w:p>
      <w:pPr>
        <w:pStyle w:val="Heading3"/>
      </w:pPr>
      <w:r>
        <w:t xml:space="preserve">What changed</w:t>
      </w:r>
    </w:p>
    <w:p>
      <w:pPr>
        <w:pStyle w:val="ListBullet"/>
      </w:pPr>
      <w:r>
        <w:t xml:space="preserve">The Pro sidebar item was removed; Pro users open Calendar from the included Plus group (Plus §5).</w:t>
      </w:r>
    </w:p>
    <w:p>
      <w:pPr>
        <w:pStyle w:val="ListBullet"/>
      </w:pPr>
      <w:r>
        <w:t xml:space="preserve">/world/pro?tab=calendar (Daily Digest links, bookmarks) redirects to /world/calendar.</w:t>
      </w:r>
    </w:p>
    <w:p>
      <w:pPr>
        <w:pStyle w:val="ListBullet"/>
      </w:pPr>
      <w:r>
        <w:t xml:space="preserve">Events published at /admin/pro-calendar now appear on the shared Calendar for Plus and Pro, marked ★ / “Kumami”, alongside the macro and unlock feed. Drafts stay hidden; edits and deletes show on the next load.</w:t>
      </w:r>
    </w:p>
    <w:p>
      <w:pPr>
        <w:pStyle w:val="ListBullet"/>
      </w:pPr>
      <w:r>
        <w:t xml:space="preserve">The Daily Digest's Calendar section still lists the next 3 team-added events (pro_calendar only).</w:t>
      </w:r>
    </w:p>
    <w:p>
      <w:pPr>
        <w:pStyle w:val="Heading3"/>
      </w:pPr>
      <w:r>
        <w:t xml:space="preserve">How we build it</w:t>
      </w:r>
    </w:p>
    <w:p>
      <w:pPr>
        <w:pStyle w:val="Heading4"/>
      </w:pPr>
      <w:r>
        <w:t xml:space="preserve">Via Admin Dashboard (manual)</w:t>
      </w:r>
    </w:p>
    <w:p>
      <w:pPr/>
      <w:r>
        <w:t xml:space="preserve">Content → Pro Dashboard → Calendar (/admin/pro-calendar) — fields and rules are described under Plus §5. New on 9 Oct: UTC time picker (blank = all day; older free-text times are still read), a “Token unlock” category, and an optional Affected assets field that powers the asset filter and the popups.</w:t>
      </w:r>
    </w:p>
    <w:p>
      <w:r>
        <w:drawing>
          <wp:inline xmlns:a="http://schemas.openxmlformats.org/drawingml/2006/main" xmlns:pic="http://schemas.openxmlformats.org/drawingml/2006/picture">
            <wp:extent cx="5760720" cy="3063240"/>
            <wp:docPr id="41" name="Picture 41"/>
            <wp:cNvGraphicFramePr>
              <a:graphicFrameLocks noChangeAspect="1"/>
            </wp:cNvGraphicFramePr>
            <a:graphic>
              <a:graphicData uri="http://schemas.openxmlformats.org/drawingml/2006/picture">
                <pic:pic>
                  <pic:nvPicPr>
                    <pic:cNvPr id="0" name="a04-pro-calendar.png"/>
                    <pic:cNvPicPr/>
                  </pic:nvPicPr>
                  <pic:blipFill>
                    <a:blip r:embed="rId48"/>
                    <a:stretch>
                      <a:fillRect/>
                    </a:stretch>
                  </pic:blipFill>
                  <pic:spPr>
                    <a:xfrm>
                      <a:off x="0" y="0"/>
                      <a:ext cx="5760720" cy="3063240"/>
                    </a:xfrm>
                    <a:prstGeom prst="rect"/>
                  </pic:spPr>
                </pic:pic>
              </a:graphicData>
            </a:graphic>
          </wp:inline>
        </w:drawing>
      </w:r>
    </w:p>
    <w:p>
      <w:pPr/>
      <w:r>
        <w:rPr>
          <w:i/>
        </w:rPr>
        <w:t>Figure: Content → Pro Dashboard → Calendar — the admin form behind every calendar event.</w:t>
      </w:r>
    </w:p>
    <w:p>
      <w:pPr>
        <w:pStyle w:val="Heading2"/>
      </w:pPr>
      <w:r>
        <w:t>15. Events &amp; Announcements</w:t>
      </w:r>
    </w:p>
    <w:p>
      <w:pPr/>
      <w:r>
        <w:t>Live-streamed events with real-time audience Q&amp;A.</w:t>
      </w:r>
    </w:p>
    <w:p>
      <w:pPr>
        <w:pStyle w:val="Heading3"/>
      </w:pPr>
      <w:r>
        <w:t>What it is</w:t>
      </w:r>
    </w:p>
    <w:p>
      <w:pPr/>
      <w:r>
        <w:t>Status: LIVE (Firestore, real-time, including a genuinely live sub-feature). Reads pro_events (pubStatus == 'published'), admin-authored, split into upcoming/past. Live events get a red “Live now” badge + embedded YouTube iframe.</w:t>
      </w:r>
    </w:p>
    <w:p>
      <w:pPr/>
      <w:r>
        <w:t>How Q&amp;A works: questions write to pro_events/{id}/questions, sorted by votes desc, with one-vote-per-user upvoting, a profanity/link/length moderation filter, and a client-side rate limiter before writes. Past events show a “Watch replay” toggle for the same embed. One of the more fully-built live features on the Pro surface — real-time, moderated, rate-limited audience interaction, not just static content.</w:t>
      </w:r>
    </w:p>
    <w:p>
      <w:pPr>
        <w:pStyle w:val="Heading3"/>
      </w:pPr>
      <w:r>
        <w:t>Where it is</w:t>
      </w:r>
    </w:p>
    <w:p>
      <w:pPr/>
      <w:r>
        <w:t>Tier: Pro only. Non-premium users never reach any of this — they see a locked teaser instead.</w:t>
      </w:r>
    </w:p>
    <w:p>
      <w:pPr/>
      <w:r>
        <w:t>Nav path: Sidebar → Pro (workspace) → Events &amp; Announcements. (Ungrouped — sits below the AI Tools group in the sidebar.)</w:t>
      </w:r>
    </w:p>
    <w:p>
      <w:r>
        <w:drawing>
          <wp:inline xmlns:a="http://schemas.openxmlformats.org/drawingml/2006/main" xmlns:pic="http://schemas.openxmlformats.org/drawingml/2006/picture">
            <wp:extent cx="5760720" cy="3063240"/>
            <wp:docPr id="42" name="Picture 42"/>
            <wp:cNvGraphicFramePr>
              <a:graphicFrameLocks noChangeAspect="1"/>
            </wp:cNvGraphicFramePr>
            <a:graphic>
              <a:graphicData uri="http://schemas.openxmlformats.org/drawingml/2006/picture">
                <pic:pic>
                  <pic:nvPicPr>
                    <pic:cNvPr id="0" name="pr15-events.png"/>
                    <pic:cNvPicPr/>
                  </pic:nvPicPr>
                  <pic:blipFill>
                    <a:blip r:embed="rId49"/>
                    <a:stretch>
                      <a:fillRect/>
                    </a:stretch>
                  </pic:blipFill>
                  <pic:spPr>
                    <a:xfrm>
                      <a:off x="0" y="0"/>
                      <a:ext cx="5760720" cy="3063240"/>
                    </a:xfrm>
                    <a:prstGeom prst="rect"/>
                  </pic:spPr>
                </pic:pic>
              </a:graphicData>
            </a:graphic>
          </wp:inline>
        </w:drawing>
      </w:r>
    </w:p>
    <w:p>
      <w:pPr/>
      <w:r>
        <w:rPr>
          <w:i/>
        </w:rPr>
        <w:t>Figure: Events &amp; Announcements — Live &amp; Upcoming list; live events show a Live-now badge and embedded video with Q&amp;A.</w:t>
      </w:r>
    </w:p>
    <w:p>
      <w:pPr>
        <w:pStyle w:val="Heading3"/>
      </w:pPr>
      <w:r>
        <w:t>How the user uses it</w:t>
      </w:r>
    </w:p>
    <w:p>
      <w:pPr/>
      <w:r>
        <w:t>Click a live event to watch the embedded stream and submit/upvote questions in the Q&amp;A panel; click a past event to watch the replay via the same embed.</w:t>
      </w:r>
    </w:p>
    <w:p>
      <w:pPr>
        <w:pStyle w:val="Heading3"/>
      </w:pPr>
      <w:r>
        <w:t>How we build it</w:t>
      </w:r>
    </w:p>
    <w:p>
      <w:pPr>
        <w:pStyle w:val="Heading4"/>
      </w:pPr>
      <w:r>
        <w:t>Via Admin Dashboard (manual)</w:t>
      </w:r>
    </w:p>
    <w:p>
      <w:pPr/>
      <w:r>
        <w:t>Firestore pro_events, authored at Content → Pro Dashboard → Events &amp; Announcements (/admin/pro-events): Title, Date/time label, Host, Status (upcoming/live/past dropdown), YouTube video (id or URL), and a “Live now” checkbox (shows the Live badge + enables audience Q&amp;A) → Publish or Save Draft.</w:t>
      </w:r>
    </w:p>
    <w:p>
      <w:r>
        <w:drawing>
          <wp:inline xmlns:a="http://schemas.openxmlformats.org/drawingml/2006/main" xmlns:pic="http://schemas.openxmlformats.org/drawingml/2006/picture">
            <wp:extent cx="5760720" cy="3063240"/>
            <wp:docPr id="43" name="Picture 43"/>
            <wp:cNvGraphicFramePr>
              <a:graphicFrameLocks noChangeAspect="1"/>
            </wp:cNvGraphicFramePr>
            <a:graphic>
              <a:graphicData uri="http://schemas.openxmlformats.org/drawingml/2006/picture">
                <pic:pic>
                  <pic:nvPicPr>
                    <pic:cNvPr id="0" name="a05-pro-events.png"/>
                    <pic:cNvPicPr/>
                  </pic:nvPicPr>
                  <pic:blipFill>
                    <a:blip r:embed="rId50"/>
                    <a:stretch>
                      <a:fillRect/>
                    </a:stretch>
                  </pic:blipFill>
                  <pic:spPr>
                    <a:xfrm>
                      <a:off x="0" y="0"/>
                      <a:ext cx="5760720" cy="3063240"/>
                    </a:xfrm>
                    <a:prstGeom prst="rect"/>
                  </pic:spPr>
                </pic:pic>
              </a:graphicData>
            </a:graphic>
          </wp:inline>
        </w:drawing>
      </w:r>
    </w:p>
    <w:p>
      <w:pPr/>
      <w:r>
        <w:rPr>
          <w:i/>
        </w:rPr>
        <w:t>Figure: Content → Pro Dashboard → Events &amp; Announcements — the admin form behind every event, including the Live-now toggle.</w:t>
      </w:r>
    </w:p>
    <w:p>
      <w:pPr>
        <w:pStyle w:val="Heading2"/>
      </w:pPr>
      <w:r>
        <w:t>16. Market Analysis</w:t>
      </w:r>
    </w:p>
    <w:p>
      <w:pPr/>
      <w:r>
        <w:t>A curated carousel of admin-authored market takes.</w:t>
      </w:r>
    </w:p>
    <w:p>
      <w:pPr>
        <w:pStyle w:val="Heading3"/>
      </w:pPr>
      <w:r>
        <w:t>What it is</w:t>
      </w:r>
    </w:p>
    <w:p>
      <w:pPr/>
      <w:r>
        <w:t>Status: LIVE (Firestore, real-time). Reads marketAnalysis (top 5 by createdAt desc), a hero/carousel layout with prev/next navigation, asset badge, delta badge, tag pill (Bullish/Bearish/Rotation/On-chain), author chip. Optional fields degrade gracefully if absent. No computed analysis — purely authored content with presentational formatting.</w:t>
      </w:r>
    </w:p>
    <w:p>
      <w:pPr>
        <w:pStyle w:val="Heading3"/>
      </w:pPr>
      <w:r>
        <w:t>Where it is</w:t>
      </w:r>
    </w:p>
    <w:p>
      <w:pPr/>
      <w:r>
        <w:t>Tier: Pro only. Non-premium users never reach any of this — they see a locked teaser instead.</w:t>
      </w:r>
    </w:p>
    <w:p>
      <w:pPr/>
      <w:r>
        <w:t>Nav path: Sidebar → Pro (workspace) → News &amp; Signals → Market Analysis.</w:t>
      </w:r>
    </w:p>
    <w:p>
      <w:r>
        <w:drawing>
          <wp:inline xmlns:a="http://schemas.openxmlformats.org/drawingml/2006/main" xmlns:pic="http://schemas.openxmlformats.org/drawingml/2006/picture">
            <wp:extent cx="5760720" cy="3063240"/>
            <wp:docPr id="44" name="Picture 44"/>
            <wp:cNvGraphicFramePr>
              <a:graphicFrameLocks noChangeAspect="1"/>
            </wp:cNvGraphicFramePr>
            <a:graphic>
              <a:graphicData uri="http://schemas.openxmlformats.org/drawingml/2006/picture">
                <pic:pic>
                  <pic:nvPicPr>
                    <pic:cNvPr id="0" name="pr16-market.png"/>
                    <pic:cNvPicPr/>
                  </pic:nvPicPr>
                  <pic:blipFill>
                    <a:blip r:embed="rId51"/>
                    <a:stretch>
                      <a:fillRect/>
                    </a:stretch>
                  </pic:blipFill>
                  <pic:spPr>
                    <a:xfrm>
                      <a:off x="0" y="0"/>
                      <a:ext cx="5760720" cy="3063240"/>
                    </a:xfrm>
                    <a:prstGeom prst="rect"/>
                  </pic:spPr>
                </pic:pic>
              </a:graphicData>
            </a:graphic>
          </wp:inline>
        </w:drawing>
      </w:r>
    </w:p>
    <w:p>
      <w:pPr/>
      <w:r>
        <w:rPr>
          <w:i/>
        </w:rPr>
        <w:t>Figure: Market Analysis — hero carousel of the latest analysis, with More Analyses thumbnails below.</w:t>
      </w:r>
    </w:p>
    <w:p>
      <w:pPr>
        <w:pStyle w:val="Heading3"/>
      </w:pPr>
      <w:r>
        <w:t>How the user uses it</w:t>
      </w:r>
    </w:p>
    <w:p>
      <w:pPr/>
      <w:r>
        <w:t>Use the ‹ › arrows to move through the latest analyses, newest first; click a thumbnail under “More Analyses” to jump straight to it.</w:t>
      </w:r>
    </w:p>
    <w:p>
      <w:pPr>
        <w:pStyle w:val="Heading3"/>
      </w:pPr>
      <w:r>
        <w:t>How we build it</w:t>
      </w:r>
    </w:p>
    <w:p>
      <w:pPr>
        <w:pStyle w:val="Heading4"/>
      </w:pPr>
      <w:r>
        <w:t>Via Admin Dashboard (manual)</w:t>
      </w:r>
    </w:p>
    <w:p>
      <w:pPr/>
      <w:r>
        <w:t>Firestore marketAnalysis, authored at Content → Market Analysis → Publish Market Analysis (/admin/market-analysis): Title, Content, and an Image upload → Publish Market Analysis.</w:t>
      </w:r>
    </w:p>
    <w:p>
      <w:r>
        <w:drawing>
          <wp:inline xmlns:a="http://schemas.openxmlformats.org/drawingml/2006/main" xmlns:pic="http://schemas.openxmlformats.org/drawingml/2006/picture">
            <wp:extent cx="5760720" cy="3063240"/>
            <wp:docPr id="45" name="Picture 45"/>
            <wp:cNvGraphicFramePr>
              <a:graphicFrameLocks noChangeAspect="1"/>
            </wp:cNvGraphicFramePr>
            <a:graphic>
              <a:graphicData uri="http://schemas.openxmlformats.org/drawingml/2006/picture">
                <pic:pic>
                  <pic:nvPicPr>
                    <pic:cNvPr id="0" name="a06-market-analysis.png"/>
                    <pic:cNvPicPr/>
                  </pic:nvPicPr>
                  <pic:blipFill>
                    <a:blip r:embed="rId52"/>
                    <a:stretch>
                      <a:fillRect/>
                    </a:stretch>
                  </pic:blipFill>
                  <pic:spPr>
                    <a:xfrm>
                      <a:off x="0" y="0"/>
                      <a:ext cx="5760720" cy="3063240"/>
                    </a:xfrm>
                    <a:prstGeom prst="rect"/>
                  </pic:spPr>
                </pic:pic>
              </a:graphicData>
            </a:graphic>
          </wp:inline>
        </w:drawing>
      </w:r>
    </w:p>
    <w:p>
      <w:pPr/>
      <w:r>
        <w:rPr>
          <w:i/>
        </w:rPr>
        <w:t>Figure: Content → Market Analysis → Publish Market Analysis — the admin form behind every carousel card.</w:t>
      </w:r>
    </w:p>
    <w:p>
      <w:pPr>
        <w:pStyle w:val="Heading2"/>
      </w:pPr>
      <w:r>
        <w:t>17. Kuma AI Chat</w:t>
      </w:r>
    </w:p>
    <w:p>
      <w:pPr/>
      <w:r>
        <w:t>Two products in one tab: general AI chat, and a live on-chain whale-wallet tracker.</w:t>
      </w:r>
    </w:p>
    <w:p>
      <w:pPr>
        <w:pStyle w:val="Heading3"/>
      </w:pPr>
      <w:r>
        <w:t>What it is</w:t>
      </w:r>
    </w:p>
    <w:p>
      <w:pPr/>
      <w:r>
        <w:t>Status: LIVE — the most substantively “real” integration in the whole Pro surface.</w:t>
      </w:r>
    </w:p>
    <w:p>
      <w:pPr/>
      <w:r>
        <w:t>General chat: per-user rooms at users/{uid}/chatrooms/{roomId}/messages (Firestore real-time). Sending a message posts to an external chat API (the project's existing n8n backend). Prompt-snippet suggestions, custom markdown rendering, typing indicator, infinite-scroll pagination, room create/delete.</w:t>
      </w:r>
    </w:p>
    <w:p>
      <w:pPr/>
      <w:r>
        <w:t>Crypto Address Tracker (default bot room): lets users watch up to 20 EVM wallets (ETH/Base/Arbitrum) with per-wallet USD alert thresholds and mute durations (1h/4h/24h). Wallet stats (balances, NFT counts, tx counts, top holdings) are fetched live via the Alchemy SDK server-side (Firebase ID token verified) — genuinely live on-chain data, not mocked. Alerts render direction (in/out), amount, chain, counterparty, USD value, and explorer links (Etherscan/Basescan/Arbiscan). This tab touches a real external chain-data provider (Alchemy) rather than Firestore-only content — the closest thing on the Pro surface to genuine on-chain intelligence today.</w:t>
      </w:r>
    </w:p>
    <w:p>
      <w:pPr>
        <w:pStyle w:val="Heading3"/>
      </w:pPr>
      <w:r>
        <w:t>Where it is</w:t>
      </w:r>
    </w:p>
    <w:p>
      <w:pPr/>
      <w:r>
        <w:t>Tier: Pro only. Non-premium users never reach any of this — they see a locked teaser instead.</w:t>
      </w:r>
    </w:p>
    <w:p>
      <w:pPr/>
      <w:r>
        <w:t>Nav path: Sidebar → Pro (workspace) → AI Tools → Kuma AI Chat.</w:t>
      </w:r>
    </w:p>
    <w:p>
      <w:r>
        <w:drawing>
          <wp:inline xmlns:a="http://schemas.openxmlformats.org/drawingml/2006/main" xmlns:pic="http://schemas.openxmlformats.org/drawingml/2006/picture">
            <wp:extent cx="5760720" cy="3063240"/>
            <wp:docPr id="46" name="Picture 46"/>
            <wp:cNvGraphicFramePr>
              <a:graphicFrameLocks noChangeAspect="1"/>
            </wp:cNvGraphicFramePr>
            <a:graphic>
              <a:graphicData uri="http://schemas.openxmlformats.org/drawingml/2006/picture">
                <pic:pic>
                  <pic:nvPicPr>
                    <pic:cNvPr id="0" name="pr17-kumaai.png"/>
                    <pic:cNvPicPr/>
                  </pic:nvPicPr>
                  <pic:blipFill>
                    <a:blip r:embed="rId53"/>
                    <a:stretch>
                      <a:fillRect/>
                    </a:stretch>
                  </pic:blipFill>
                  <pic:spPr>
                    <a:xfrm>
                      <a:off x="0" y="0"/>
                      <a:ext cx="5760720" cy="3063240"/>
                    </a:xfrm>
                    <a:prstGeom prst="rect"/>
                  </pic:spPr>
                </pic:pic>
              </a:graphicData>
            </a:graphic>
          </wp:inline>
        </w:drawing>
      </w:r>
    </w:p>
    <w:p>
      <w:pPr/>
      <w:r>
        <w:rPr>
          <w:i/>
        </w:rPr>
        <w:t>Figure: Kuma AI Chat — room list (Kuma AI, Crypto Address Tracker, My Sessions) with the main chat panel.</w:t>
      </w:r>
    </w:p>
    <w:p>
      <w:pPr>
        <w:pStyle w:val="Heading3"/>
      </w:pPr>
      <w:r>
        <w:t>How the user uses it</w:t>
      </w:r>
    </w:p>
    <w:p>
      <w:pPr/>
      <w:r>
        <w:t>Click “New Chat” to start a general conversation, or open the default “Crypto Address Tracker” room to add up to 20 wallet addresses with a USD alert threshold and mute duration each; past sessions are listed under “My Sessions” for quick resume.</w:t>
      </w:r>
    </w:p>
    <w:p>
      <w:pPr>
        <w:pStyle w:val="Heading3"/>
      </w:pPr>
      <w:r>
        <w:t>How we build it</w:t>
      </w:r>
    </w:p>
    <w:p>
      <w:pPr>
        <w:pStyle w:val="Heading4"/>
      </w:pPr>
      <w:r>
        <w:t>Via API</w:t>
      </w:r>
    </w:p>
    <w:p>
      <w:pPr/>
      <w:r>
        <w:t>General chat messages post to the project's existing n8n chat backend. Wallet stats and live on-chain activity for the Address Tracker are fetched server-side via the Alchemy SDK (Firebase ID token verified) — real on-chain data, not mocked.</w:t>
      </w:r>
    </w:p>
    <w:p>
      <w:pPr>
        <w:pStyle w:val="Heading4"/>
      </w:pPr>
      <w:r>
        <w:t>Via Admin Dashboard</w:t>
      </w:r>
    </w:p>
    <w:p>
      <w:pPr/>
      <w:r>
        <w:t>None — rooms, messages, and tracked wallets are entirely user-configured.</w:t>
      </w:r>
    </w:p>
    <w:p>
      <w:pPr>
        <w:pStyle w:val="Heading2"/>
      </w:pPr>
      <w:r>
        <w:t>18. Flow Radar (Pro)</w:t>
      </w:r>
    </w:p>
    <w:p>
      <w:pPr/>
      <w:r>
        <w:t>Pro-tier enhancements on top of Plus §3 — same page, same feed, extra depth once tier === 'pro'.</w:t>
      </w:r>
    </w:p>
    <w:p>
      <w:pPr>
        <w:pStyle w:val="Heading3"/>
      </w:pPr>
      <w:r>
        <w:t>What it is</w:t>
      </w:r>
    </w:p>
    <w:p>
      <w:pPr/>
      <w:r>
        <w:t>Two additions layered onto the Plus Flow Radar feed: a Flow Balance Panel, and cross-signal tags. Also removes Plus's asset-roster restriction (full tracked universe) and severity filter (adds LOW); the real-time delivery is unchanged since Plus already ships without delay.</w:t>
      </w:r>
    </w:p>
    <w:p>
      <w:pPr/>
      <w:r>
        <w:t>Flow Balance Panel: a fixed 24h-window bull/bear USD split computed from the event feed — bullishUsd, bearishUsd, netUsd, bullish %, bearish %, and a 5-band verdict (Strong Accumulation: net &gt; $500M · Accumulation: &gt; $100M · Balanced: ≥ -$100M · Distribution: ≥ -$500M · Heavy Distribution: below that). The window is fixed at 24h regardless of the page's own 1H/4H/24H toggle.</w:t>
      </w:r>
    </w:p>
    <w:p>
      <w:pPr/>
      <w:r>
        <w:t>Cross-signal tags: each event is checked against 3 rules, first match wins, plus a fallback: (1) whale outflow + Spot Pulse verdict in {REAL BUYING, ACCUMULATION} → green “Spot Pulse confirming”; (2) liquidation spike (Sell Pressure) + Console regime Bearish → red “Regime confirming”; (3) smart-money event + the same asset already showing 2+ same-direction whale events in the last 24h (the same signal Watchlist Pro's “Whale Accumulation” tag uses) → green “Watchlist confirming”; fallback: whale outflow + Fear/Extreme Fear on the Fear &amp; Greed Index → green “Regime shift confirming”. Shown as a colored left-border outline on the event row with a tooltip, not a separate visible badge, to keep the feed scannable.</w:t>
      </w:r>
    </w:p>
    <w:p>
      <w:pPr>
        <w:pStyle w:val="Heading3"/>
      </w:pPr>
      <w:r>
        <w:t>Where it is</w:t>
      </w:r>
    </w:p>
    <w:p>
      <w:pPr/>
      <w:r>
        <w:t>Tier: Pro only. Same page as Plus §3 — Sidebar → Plus (group) → Flow Radar. The panel and outlines render automatically once the signed-in user is Pro.</w:t>
      </w:r>
    </w:p>
    <w:p>
      <w:pPr>
        <w:pStyle w:val="Heading3"/>
      </w:pPr>
      <w:r>
        <w:t>How the user uses it</w:t>
      </w:r>
    </w:p>
    <w:p>
      <w:pPr/>
      <w:r>
        <w:t>Read the Flow Balance Panel above the live feed for the last 24h's net bullish/bearish USD split and verdict; hover a highlighted event row to see which cross-signal rule fired, in the tooltip.</w:t>
      </w:r>
    </w:p>
    <w:p>
      <w:pPr>
        <w:pStyle w:val="Heading3"/>
      </w:pPr>
      <w:r>
        <w:t>How we build it</w:t>
      </w:r>
    </w:p>
    <w:p>
      <w:pPr>
        <w:pStyle w:val="Heading4"/>
      </w:pPr>
      <w:r>
        <w:t>Via API</w:t>
      </w:r>
    </w:p>
    <w:p>
      <w:pPr/>
      <w:r>
        <w:t>Rule engines: src/lib/market/rules/flowBalance.ts (panel) and flowCrossSignal.ts (tags). Cross-signal context is built from 3 independently 4-second-timeout-guarded fetches (Spot Pulse, Console, Fear &amp; Greed) so a slow upstream degrades only that one signal rather than the page; the Watchlist whale-tag input is computed directly from the same 24h event buffer already in scope in this route (not a second network call to the Watchlist endpoint, which only ever returns 5 fixed anchors and would silently never match).</w:t>
      </w:r>
    </w:p>
    <w:p>
      <w:pPr/>
      <w:r>
        <w:t>Known gap: the significance/baseline detection engine (Rachelle's spec §1.7) is not implemented — it needs a new daily scheduled-job mechanism this repo doesn't have yet. The $500M / event-count / $300M thresholds are carried over unchanged from Plus and are not yet re-validated against real Pro-scale (100+ asset) event volume, consistent with the spec's own “Open items.”</w:t>
      </w:r>
    </w:p>
    <w:p>
      <w:pPr>
        <w:pStyle w:val="Heading2"/>
      </w:pPr>
      <w:r>
        <w:t>19. Watchlist (Pro)</w:t>
      </w:r>
    </w:p>
    <w:p>
      <w:pPr/>
      <w:r>
        <w:t>Pro-tier rebuild of Plus §6's single table into 3 sections — same page, extra sections once tier === 'pro'.</w:t>
      </w:r>
    </w:p>
    <w:p>
      <w:pPr>
        <w:pStyle w:val="Heading3"/>
      </w:pPr>
      <w:r>
        <w:t>What it is</w:t>
      </w:r>
    </w:p>
    <w:p>
      <w:pPr/>
      <w:r>
        <w:t>“Your Watchlist”: a real, user-editable custom pin list (add/remove any tracked asset), capped at 15. The existing curated majors table, unchanged. “Also Worth Watching” (Section C): up to 5 additional assets — outside the user's pins and the curated roster — surfaced from real whale-flow scoring over the last 24h of Flow Radar events.</w:t>
      </w:r>
    </w:p>
    <w:p>
      <w:pPr/>
      <w:r>
        <w:t>Section C scoring uses 3 of the spec's 5 criteria: Sustained Accumulation (net outflow &gt; $50M, +3), Multi-Event Bullish (3+ events with at least 1 HIGH severity, +3), Coordinated Smart Money (2+ same-direction smart-money events, +4) — with multipliers (×1.5 if a HIGH-severity event landed within the last 6h; ×(criteria count × 0.5 + 1) if multiple criteria fire on the same asset), sorted descending, top 5 shown.</w:t>
      </w:r>
    </w:p>
    <w:p>
      <w:pPr>
        <w:pStyle w:val="Heading3"/>
      </w:pPr>
      <w:r>
        <w:t>Where it is</w:t>
      </w:r>
    </w:p>
    <w:p>
      <w:pPr/>
      <w:r>
        <w:t>Tier: Pro only. Same page as Plus §6 — Sidebar → Plus (group) → Watchlist.</w:t>
      </w:r>
    </w:p>
    <w:p>
      <w:pPr/>
    </w:p>
    <w:p>
      <w:pPr/>
      <w:r>
        <w:t>Figure: Watchlist (Pro) — “Your Watchlist” with a {pinned}/{cap} counter, the curated table below it, and “Also Worth Watching” with a ◆ marker and reason tooltip on each row.</w:t>
      </w:r>
    </w:p>
    <w:p>
      <w:pPr>
        <w:pStyle w:val="Heading3"/>
      </w:pPr>
      <w:r>
        <w:t>How the user uses it</w:t>
      </w:r>
    </w:p>
    <w:p>
      <w:pPr/>
      <w:r>
        <w:t>Add or remove assets to build a personal watchlist, up to the 15-asset cap (the header shows “{pinned}/{cap} assets tracked”; an empty state prompts adding the first one). Read “Also Worth Watching” for assets the platform's whale-flow data is already flagging that aren't on the user's radar yet — hover a row's ◆ marker for the reasons it was surfaced.</w:t>
      </w:r>
    </w:p>
    <w:p>
      <w:pPr>
        <w:pStyle w:val="Heading3"/>
      </w:pPr>
      <w:r>
        <w:t>How we build it</w:t>
      </w:r>
    </w:p>
    <w:p>
      <w:pPr>
        <w:pStyle w:val="Heading4"/>
      </w:pPr>
      <w:r>
        <w:t>Via API</w:t>
      </w:r>
    </w:p>
    <w:p>
      <w:pPr/>
      <w:r>
        <w:t>Pin cap: pinCap(tier) in src/lib/market/gating.ts (15 for Pro, 0 otherwise) — a separate cap from the fixed-table watchlistSlots(tier) used for Section A/curated slicing. Section C: computeSectionC() in src/lib/market/rules/watchlistSectionC.ts, fed by the same flow-radar event cache Flow Radar Pro (§18) already reads, so it costs no extra CoinGlass calls; each row's price/24h/tags reuses the existing buildAsset() pipeline (a cache hit in the common case).</w:t>
      </w:r>
    </w:p>
    <w:p>
      <w:pPr/>
      <w:r>
        <w:t>Known gap: 2 of the spec's 5 Section C criteria are deliberately deferred — Volume Spike and “Significance Chip Fired” — both depend on data/engines not yet built (per-asset volume history; the significance/baseline engine noted under §18). The spec's “top-30-by-market-cap” pre-filter is also not applied — scoring runs across the same universe Flow Radar already tracks. Saved multiple lists, wallet-address rows inside the watchlist, price/whale alerts on pinned assets, and a historical trail remain Pro upsell placeholders, not built.</w:t>
      </w:r>
    </w:p>
    <w:p>
      <w:pPr>
        <w:pStyle w:val="Heading2"/>
      </w:pPr>
      <w:r>
        <w:t>20. Crypto Address Tracker (standalone)</w:t>
      </w:r>
    </w:p>
    <w:p>
      <w:pPr/>
      <w:r>
        <w:t>Paste any wallet, get a readable profile — a new standalone Pro page, not to be confused with the similarly-named bot room in Kuma AI Chat.</w:t>
      </w:r>
    </w:p>
    <w:p>
      <w:pPr>
        <w:pStyle w:val="Heading3"/>
      </w:pPr>
      <w:r>
        <w:t>What it is</w:t>
      </w:r>
    </w:p>
    <w:p>
      <w:pPr/>
      <w:r>
        <w:t>A one-shot wallet lookup tool: paste any EVM address, get portfolio value, holdings, a behavioral tag, and recent activity. Distinct from the existing “Crypto Address Tracker” bot room inside Kuma AI Chat (Pro §17) — that one is a saved, alert-driven wallet-watching room for up to 20 addresses; this is an unsaved, single-address read. Same underlying Alchemy data source and no new paid vendor, but a separate API route that doesn't touch Kuma AI Chat's existing contract.</w:t>
      </w:r>
    </w:p>
    <w:p>
      <w:pPr/>
      <w:r>
        <w:t>Built: portfolioValueUsd + holdings (top-10 ERC20 tokens plus native ETH, priced via CoinGecko, sorted by value with % of portfolio); a single “Whale” tag when portfolio value ≥ $10M (the only behavioral tag shipped — see gaps below); transaction count and first-seen date; recent activity (last 10 transfers merged across in/out, with direction, asset, amount, counterparty address, and a block-explorer link).</w:t>
      </w:r>
    </w:p>
    <w:p>
      <w:pPr>
        <w:pStyle w:val="Heading3"/>
      </w:pPr>
      <w:r>
        <w:t>Where it is</w:t>
      </w:r>
    </w:p>
    <w:p>
      <w:pPr/>
      <w:r>
        <w:t>Tier: Pro only. Non-premium users never reach any of this — they see a locked teaser instead.</w:t>
      </w:r>
    </w:p>
    <w:p>
      <w:pPr/>
      <w:r>
        <w:t>Nav path: Sidebar → Pro (workspace) → AI Tools → Crypto Address Tracker.</w:t>
      </w:r>
    </w:p>
    <w:p>
      <w:pPr/>
    </w:p>
    <w:p>
      <w:pPr/>
      <w:r>
        <w:t>Figure: Crypto Address Tracker — address input, then a portfolio-value header with Whale tag, a stat grid, a Holdings list, and a Recent activity list.</w:t>
      </w:r>
    </w:p>
    <w:p>
      <w:pPr>
        <w:pStyle w:val="Heading3"/>
      </w:pPr>
      <w:r>
        <w:t>How the user uses it</w:t>
      </w:r>
    </w:p>
    <w:p>
      <w:pPr/>
      <w:r>
        <w:t>Paste any 0x… EVM address and click “Look up”; read the portfolio header (value + Whale tag if applicable), the stat grid (Portfolio Value / Realised PnL / Win Rate / Transactions / First Seen), the Holdings list, and Recent activity — each row links out to Etherscan.</w:t>
      </w:r>
    </w:p>
    <w:p>
      <w:pPr>
        <w:pStyle w:val="Heading3"/>
      </w:pPr>
      <w:r>
        <w:t>How we build it</w:t>
      </w:r>
    </w:p>
    <w:p>
      <w:pPr>
        <w:pStyle w:val="Heading4"/>
      </w:pPr>
      <w:r>
        <w:t>Via API</w:t>
      </w:r>
    </w:p>
    <w:p>
      <w:pPr/>
      <w:r>
        <w:t>GET /api/wallet-profile — Firebase-ID-token gated, validates the 0x… address format, then fetches wallet summary, token balances, and transfers from Alchemy (Ethereum mainnet). Every individual Alchemy call is independently 8-second-timeout-guarded with a typed empty fallback, so one slow upstream degrades only that section instead of 500ing the whole page (fixed a real bug during build: an unguarded Promise.all of 6 Alchemy calls 500'd the route once when a single call hit ETIMEDOUT). Holdings are priced via a self-fetch to /api/coingecko/markets.</w:t>
      </w:r>
    </w:p>
    <w:p>
      <w:pPr/>
      <w:r>
        <w:t>Known gaps (documented, not faked): Realised PnL and win rate need full FIFO trade-history reconstruction — not built, shown as “—”. Exchange-vs-cold-wallet labels on activity, “net outflow from exchanges,” and a “consistent accumulator” flag all need a verified CEX hot-wallet address list; hand-typing addresses from memory was considered and deliberately rejected during build — a wrong address silently mislabels real activity, which is worse than the plain in/out + counterparty shown today. Contract-risk flagging needs a GoPlus Security API integration that doesn't exist anywhere in this codebase (Security Scanner, which would own it, is itself an unbuilt Pro placeholder — see Pro §6). The “Kumami AI Read” narrative needs an LLM key, not wired into this app anywhere yet (same gap as Console/Flow Radar's hardcoded-template sentences). Linked-wallet visualization needs separate wallet-clustering heuristics, not implemented. Base/Arbitrum balances are read where available, but this project's Base/Arb Alchemy keys are currently placeholder/invalid — a pre-existing gap, not introduced by this feature.</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