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Xde42596568fc699b639b4f58e205e4c7f0e7349"/>
    <w:p>
      <w:pPr>
        <w:pStyle w:val="Heading1"/>
      </w:pPr>
      <w:r>
        <w:t xml:space="preserve">Prevalence and Correlates of Residual Inflammatory Risk Among Statin-Treated U.S. Adults Achieving LDL-C &lt;70 mg/dL: A Cross-Sectional Analysis of NHANES 2005-2020</w:t>
      </w:r>
    </w:p>
    <w:p>
      <w:r>
        <w:pict>
          <v:rect style="width:0;height:1.5pt" o:hralign="center" o:hrstd="t" o:hr="t"/>
        </w:pict>
      </w:r>
    </w:p>
    <w:bookmarkStart w:id="20" w:name="clinical-perspectives"/>
    <w:p>
      <w:pPr>
        <w:pStyle w:val="Heading2"/>
      </w:pPr>
      <w:r>
        <w:t xml:space="preserve">CLINICAL PERSPECTIVES</w:t>
      </w:r>
    </w:p>
    <w:p>
      <w:pPr>
        <w:pStyle w:val="FirstParagraph"/>
      </w:pPr>
      <w:r>
        <w:rPr>
          <w:b/>
          <w:bCs/>
        </w:rPr>
        <w:t xml:space="preserve">What Is Known</w:t>
      </w:r>
      <w:r>
        <w:t xml:space="preserve"> </w:t>
      </w:r>
      <w:r>
        <w:t xml:space="preserve">- Clinical trials suggest 30-40% of statin-treated patients maintain hs-CRP ≥2 mg/L despite LDL-C goal attainment</w:t>
      </w:r>
      <w:r>
        <w:t xml:space="preserve"> </w:t>
      </w:r>
      <w:r>
        <w:t xml:space="preserve">- Anti-inflammatory therapies (colchicine, canakinumab) reduce cardiovascular events in patients with residual inflammatory risk</w:t>
      </w:r>
      <w:r>
        <w:t xml:space="preserve"> </w:t>
      </w:r>
      <w:r>
        <w:t xml:space="preserve">- No nationally representative U.S. estimates of residual inflammatory risk prevalence exist</w:t>
      </w:r>
    </w:p>
    <w:p>
      <w:pPr>
        <w:pStyle w:val="BodyText"/>
      </w:pPr>
      <w:r>
        <w:rPr>
          <w:b/>
          <w:bCs/>
        </w:rPr>
        <w:t xml:space="preserve">What Is New</w:t>
      </w:r>
      <w:r>
        <w:t xml:space="preserve"> </w:t>
      </w:r>
      <w:r>
        <w:t xml:space="preserve">- Among statin-treated U.S. adults achieving LDL-C &lt;70 mg/dL, 21.9% have residual inflammatory risk (hs-CRP ≥2 mg/L)</w:t>
      </w:r>
      <w:r>
        <w:t xml:space="preserve"> </w:t>
      </w:r>
      <w:r>
        <w:t xml:space="preserve">- Diabetics show nearly double the RIR prevalence compared to those with normal glycemia</w:t>
      </w:r>
      <w:r>
        <w:t xml:space="preserve"> </w:t>
      </w:r>
      <w:r>
        <w:t xml:space="preserve">- BMI was associated with RIR in women but not men in exploratory sex-specific models, suggesting potential sex-specific inflammatory pathways that require confirmation</w:t>
      </w:r>
    </w:p>
    <w:p>
      <w:pPr>
        <w:pStyle w:val="BodyText"/>
      </w:pPr>
      <w:r>
        <w:rPr>
          <w:b/>
          <w:bCs/>
        </w:rPr>
        <w:t xml:space="preserve">Clinical Implications</w:t>
      </w:r>
      <w:r>
        <w:t xml:space="preserve"> </w:t>
      </w:r>
      <w:r>
        <w:t xml:space="preserve">- These findings support consideration of hs-CRP measurement in statin-treated patients who have achieved lipid goals</w:t>
      </w:r>
      <w:r>
        <w:t xml:space="preserve"> </w:t>
      </w:r>
      <w:r>
        <w:t xml:space="preserve">- Diabetics with well-controlled LDL-C may particularly benefit from inflammatory risk assessment</w:t>
      </w:r>
      <w:r>
        <w:t xml:space="preserve"> </w:t>
      </w:r>
      <w:r>
        <w:t xml:space="preserve">- These findings raise the possibility that sex-specific approaches to inflammatory risk stratification could be informative and warrant further study</w:t>
      </w:r>
    </w:p>
    <w:p>
      <w:r>
        <w:pict>
          <v:rect style="width:0;height:1.5pt" o:hralign="center" o:hrstd="t" o:hr="t"/>
        </w:pict>
      </w:r>
    </w:p>
    <w:bookmarkEnd w:id="20"/>
    <w:bookmarkStart w:id="21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rPr>
          <w:b/>
          <w:bCs/>
        </w:rPr>
        <w:t xml:space="preserve">BACKGROUND</w:t>
      </w:r>
      <w:r>
        <w:t xml:space="preserve"> </w:t>
      </w:r>
      <w:r>
        <w:t xml:space="preserve">Statins reduce low-density lipoprotein cholesterol (LDL-C) and cardiovascular events, yet a substantial proportion of statin-treated patients maintain elevated high-sensitivity C-reactive protein (hs-CRP) despite achieving LDL-C goals. Nationally representative estimates of this residual inflammatory risk (RIR) phenotype in the U.S. population are lacking.</w:t>
      </w:r>
    </w:p>
    <w:p>
      <w:pPr>
        <w:pStyle w:val="BodyText"/>
      </w:pPr>
      <w:r>
        <w:rPr>
          <w:b/>
          <w:bCs/>
        </w:rPr>
        <w:t xml:space="preserve">OBJECTIVES</w:t>
      </w:r>
      <w:r>
        <w:t xml:space="preserve"> </w:t>
      </w:r>
      <w:r>
        <w:t xml:space="preserve">To estimate the survey-weighted prevalence of RIR among statin-treated U.S. adults achieving LDL-C &lt;70 mg/dL, and to characterize associations with glycemic status and sex in exploratory analyses.</w:t>
      </w:r>
    </w:p>
    <w:p>
      <w:pPr>
        <w:pStyle w:val="BodyText"/>
      </w:pPr>
      <w:r>
        <w:rPr>
          <w:b/>
          <w:bCs/>
        </w:rPr>
        <w:t xml:space="preserve">METHODS</w:t>
      </w:r>
      <w:r>
        <w:t xml:space="preserve"> </w:t>
      </w:r>
      <w:r>
        <w:t xml:space="preserve">Cross-sectional analysis of National Health and Nutrition Examination Survey (NHANES) cycles 2005-2010 and 2015-2020. Adults aged ≥20 years with fasting lipid measurements and hs-CRP ≤10 mg/L were included. RIR was defined as concurrent statin use, LDL-C &lt;70 mg/dL, and hs-CRP ≥2 mg/L. Survey-weighted prevalence estimates and logistic regression were performed accounting for complex survey design.</w:t>
      </w:r>
    </w:p>
    <w:p>
      <w:pPr>
        <w:pStyle w:val="BodyText"/>
      </w:pPr>
      <w:r>
        <w:rPr>
          <w:b/>
          <w:bCs/>
        </w:rPr>
        <w:t xml:space="preserve">RESULTS</w:t>
      </w:r>
      <w:r>
        <w:t xml:space="preserve"> </w:t>
      </w:r>
      <w:r>
        <w:t xml:space="preserve">Among 12,896 fasting adults, 2,527 reported statin use (weighted prevalence 19.6%), of whom 577 achieved LDL-C &lt;70 mg/dL. The survey-weighted RIR prevalence was 21.9% (95% CI: 15.9%-27.9%). In pre-specified exploratory analyses, statin users had higher hs-CRP ≥2 mg/L prevalence than non-users within each LDL-C tier. RIR prevalence was higher among participants with diabetes (26.2%) compared to those with normal glycemia (15.3%; standard error [SE] 9.3%, reflecting imprecision in the normal glycemia subgroup). In sex-specific models, body mass index (BMI) predicted RIR in women (odds ratio [OR] 1.07 per kg/m², P=0.02) but not men.</w:t>
      </w:r>
    </w:p>
    <w:p>
      <w:pPr>
        <w:pStyle w:val="BodyText"/>
      </w:pPr>
      <w:r>
        <w:rPr>
          <w:b/>
          <w:bCs/>
        </w:rPr>
        <w:t xml:space="preserve">CONCLUSIONS</w:t>
      </w:r>
      <w:r>
        <w:t xml:space="preserve"> </w:t>
      </w:r>
      <w:r>
        <w:t xml:space="preserve">Approximately one in five statin-treated U.S. adults achieving LDL-C &lt;70 mg/dL has residual inflammatory risk. These nationally representative estimates provide a foundation for prevention planning and suggest that hs-CRP screening may help identify candidates for adjunctive anti-inflammatory therapy evaluation in future outcome studies, particularly among patients with diabetes and well-controlled LDL-C.</w:t>
      </w:r>
    </w:p>
    <w:p>
      <w:r>
        <w:pict>
          <v:rect style="width:0;height:1.5pt" o:hralign="center" o:hrstd="t" o:hr="t"/>
        </w:pict>
      </w:r>
    </w:p>
    <w:bookmarkEnd w:id="21"/>
    <w:bookmarkStart w:id="22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Statins remain the cornerstone of pharmacotherapy for atherosclerotic cardiovascular disease (ASCVD) prevention, reducing major cardiovascular events by 20-30% through low-density lipoprotein cholesterol (LDL-C) lowering.</w:t>
      </w:r>
      <w:r>
        <w:rPr>
          <w:vertAlign w:val="superscript"/>
        </w:rPr>
        <w:t xml:space="preserve">1</w:t>
      </w:r>
      <w:r>
        <w:t xml:space="preserve"> </w:t>
      </w:r>
      <w:r>
        <w:t xml:space="preserve">Current guidelines recommend intensive statin therapy with LDL-C targets &lt;70 mg/dL for patients with clinical ASCVD or very high-risk primary prevention.</w:t>
      </w:r>
      <w:r>
        <w:rPr>
          <w:vertAlign w:val="superscript"/>
        </w:rPr>
        <w:t xml:space="preserve">2</w:t>
      </w:r>
      <w:r>
        <w:t xml:space="preserve"> </w:t>
      </w:r>
      <w:r>
        <w:t xml:space="preserve">Despite widespread statin use and improved lipid control at the population level, substantial residual cardiovascular risk persists,</w:t>
      </w:r>
      <w:r>
        <w:rPr>
          <w:vertAlign w:val="superscript"/>
        </w:rPr>
        <w:t xml:space="preserve">3</w:t>
      </w:r>
      <w:r>
        <w:t xml:space="preserve"> </w:t>
      </w:r>
      <w:r>
        <w:t xml:space="preserve">prompting investigation of non-lipid pathways contributing to atherosclerosis progression.</w:t>
      </w:r>
    </w:p>
    <w:p>
      <w:pPr>
        <w:pStyle w:val="BodyText"/>
      </w:pPr>
      <w:r>
        <w:t xml:space="preserve">Systemic inflammation, quantified by high-sensitivity C-reactive protein (hs-CRP), has emerged as a predictor of cardiovascular events independent of LDL-C.</w:t>
      </w:r>
      <w:r>
        <w:rPr>
          <w:vertAlign w:val="superscript"/>
        </w:rPr>
        <w:t xml:space="preserve">4,5</w:t>
      </w:r>
      <w:r>
        <w:t xml:space="preserve"> </w:t>
      </w:r>
      <w:r>
        <w:t xml:space="preserve">The concept of</w:t>
      </w:r>
      <w:r>
        <w:t xml:space="preserve"> </w:t>
      </w:r>
      <w:r>
        <w:t xml:space="preserve">“residual inflammatory risk”</w:t>
      </w:r>
      <w:r>
        <w:t xml:space="preserve">—persistent hs-CRP ≥2 mg/L despite statin therapy and lipid goal attainment—has gained clinical relevance following landmark trials demonstrating benefits of anti-inflammatory therapies. The CANTOS trial showed that interleukin-1β inhibition with canakinumab reduced cardiovascular events in patients with prior myocardial infarction and hs-CRP ≥2 mg/L despite statin therapy,</w:t>
      </w:r>
      <w:r>
        <w:rPr>
          <w:vertAlign w:val="superscript"/>
        </w:rPr>
        <w:t xml:space="preserve">6</w:t>
      </w:r>
      <w:r>
        <w:t xml:space="preserve"> </w:t>
      </w:r>
      <w:r>
        <w:t xml:space="preserve">establishing a causal role for inflammation in atherosclerosis. Subsequently, the COLCOT and LoDoCo2 trials demonstrated that low-dose colchicine reduces cardiovascular events in patients with established coronary artery disease,</w:t>
      </w:r>
      <w:r>
        <w:rPr>
          <w:vertAlign w:val="superscript"/>
        </w:rPr>
        <w:t xml:space="preserve">7,8</w:t>
      </w:r>
      <w:r>
        <w:t xml:space="preserve"> </w:t>
      </w:r>
      <w:r>
        <w:t xml:space="preserve">providing a practical, widely available anti-inflammatory approach now endorsed by clinical guidelines.</w:t>
      </w:r>
      <w:r>
        <w:rPr>
          <w:vertAlign w:val="superscript"/>
        </w:rPr>
        <w:t xml:space="preserve">9</w:t>
      </w:r>
    </w:p>
    <w:p>
      <w:pPr>
        <w:pStyle w:val="BodyText"/>
      </w:pPr>
      <w:r>
        <w:t xml:space="preserve">Post-hoc analyses from high-intensity statin trials suggest that 30-40% of treated patients maintain hs-CRP ≥2 mg/L despite achieving LDL-C goals.</w:t>
      </w:r>
      <w:r>
        <w:rPr>
          <w:vertAlign w:val="superscript"/>
        </w:rPr>
        <w:t xml:space="preserve">10</w:t>
      </w:r>
      <w:r>
        <w:t xml:space="preserve"> </w:t>
      </w:r>
      <w:r>
        <w:t xml:space="preserve">However, these estimates derive from clinical trial populations with enriched cardiovascular risk. Nationally representative estimates of residual inflammatory risk among statin-treated individuals in the general U.S. population are lacking. Such estimates are essential for understanding the population-level burden of on-treatment inflammation, identifying candidates for adjunctive therapy, and characterizing high-risk subgroups. The American Heart Association’s cardiovascular-kidney-metabolic (CKM) health framework further emphasizes the bidirectional relationship between metabolic dysfunction and chronic inflammation.</w:t>
      </w:r>
      <w:r>
        <w:rPr>
          <w:vertAlign w:val="superscript"/>
        </w:rPr>
        <w:t xml:space="preserve">11</w:t>
      </w:r>
    </w:p>
    <w:p>
      <w:pPr>
        <w:pStyle w:val="BodyText"/>
      </w:pPr>
      <w:r>
        <w:t xml:space="preserve">We therefore analyzed data from the National Health and Nutrition Examination Survey (NHANES) to estimate the weighted prevalence of residual inflammatory risk among statin-treated U.S. adults achieving LDL-C &lt;70 mg/dL. In pre-specified exploratory analyses, we examined hs-CRP elevation across the spectrum of LDL-C levels and statin use, evaluated associations with glycemic status and sex, and identified demographic and clinical correlates of residual inflammatory risk.</w:t>
      </w:r>
    </w:p>
    <w:p>
      <w:r>
        <w:pict>
          <v:rect style="width:0;height:1.5pt" o:hralign="center" o:hrstd="t" o:hr="t"/>
        </w:pict>
      </w:r>
    </w:p>
    <w:bookmarkEnd w:id="22"/>
    <w:bookmarkStart w:id="29" w:name="methods"/>
    <w:p>
      <w:pPr>
        <w:pStyle w:val="Heading2"/>
      </w:pPr>
      <w:r>
        <w:t xml:space="preserve">METHODS</w:t>
      </w:r>
    </w:p>
    <w:bookmarkStart w:id="23" w:name="data-source-and-study-population"/>
    <w:p>
      <w:pPr>
        <w:pStyle w:val="Heading3"/>
      </w:pPr>
      <w:r>
        <w:t xml:space="preserve">DATA SOURCE AND STUDY POPULATION</w:t>
      </w:r>
    </w:p>
    <w:p>
      <w:pPr>
        <w:pStyle w:val="FirstParagraph"/>
      </w:pPr>
      <w:r>
        <w:t xml:space="preserve">This analysis utilized publicly available data from the National Health and Nutrition Examination Survey (NHANES), a nationally representative, cross-sectional survey of non-institutionalized U.S. civilians conducted by the National Center for Health Statistics (NCHS).</w:t>
      </w:r>
      <w:r>
        <w:rPr>
          <w:vertAlign w:val="superscript"/>
        </w:rPr>
        <w:t xml:space="preserve">12</w:t>
      </w:r>
      <w:r>
        <w:t xml:space="preserve"> </w:t>
      </w:r>
      <w:r>
        <w:t xml:space="preserve">NHANES employs a complex, multistage probability sampling design with oversampling of certain demographic groups to produce reliable subpopulation estimates.</w:t>
      </w:r>
    </w:p>
    <w:p>
      <w:pPr>
        <w:pStyle w:val="BodyText"/>
      </w:pPr>
      <w:r>
        <w:t xml:space="preserve">Five survey cycles were included: 2005-2006, 2007-2008, 2009-2010, 2015-2016, and 2017-2020 (pre-pandemic). Cycles 2011-2014 were excluded due to limitations in harmonizing hs-CRP laboratory data across the analytic pipeline. The 2017-2020 cycle combined pre-pandemic data from 2017-2018 and 2019-March 2020 per NCHS analytic guidance.</w:t>
      </w:r>
    </w:p>
    <w:p>
      <w:pPr>
        <w:pStyle w:val="BodyText"/>
      </w:pPr>
      <w:r>
        <w:t xml:space="preserve">Participants were eligible if they: (1) were aged ≥20 years; (2) attended the mobile examination center and provided a fasting blood sample (required for LDL-C calculation); (3) had measured hs-CRP; and (4) had prescription medication data available for statin ascertainment. Participants with hs-CRP &gt;10 mg/L were excluded to remove acute inflammation likely reflecting infectious or transient inflammatory processes rather than chronic cardiovascular risk.</w:t>
      </w:r>
      <w:r>
        <w:rPr>
          <w:vertAlign w:val="superscript"/>
        </w:rPr>
        <w:t xml:space="preserve">13</w:t>
      </w:r>
    </w:p>
    <w:bookmarkEnd w:id="23"/>
    <w:bookmarkStart w:id="24" w:name="variable-definitions"/>
    <w:p>
      <w:pPr>
        <w:pStyle w:val="Heading3"/>
      </w:pPr>
      <w:r>
        <w:t xml:space="preserve">VARIABLE DEFINITIONS</w:t>
      </w:r>
    </w:p>
    <w:p>
      <w:pPr>
        <w:pStyle w:val="FirstParagraph"/>
      </w:pPr>
      <w:r>
        <w:rPr>
          <w:b/>
          <w:bCs/>
        </w:rPr>
        <w:t xml:space="preserve">Statin use.</w:t>
      </w:r>
      <w:r>
        <w:t xml:space="preserve"> </w:t>
      </w:r>
      <w:r>
        <w:t xml:space="preserve">Current statin use was ascertained from NHANES prescription medication interview files (RXQ_RX). Participants were classified as statin users if they reported taking any HMG-CoA reductase inhibitor in the past 30 days, identified through generic drug name matching (atorvastatin, simvastatin, rosuvastatin, pravastatin, lovastatin, fluvastatin, pitavastatin) and Multum Lexicon therapeutic classification code 358.</w:t>
      </w:r>
    </w:p>
    <w:p>
      <w:pPr>
        <w:pStyle w:val="BodyText"/>
      </w:pPr>
      <w:r>
        <w:rPr>
          <w:b/>
          <w:bCs/>
        </w:rPr>
        <w:t xml:space="preserve">Low-density lipoprotein cholesterol.</w:t>
      </w:r>
      <w:r>
        <w:t xml:space="preserve"> </w:t>
      </w:r>
      <w:r>
        <w:t xml:space="preserve">LDL-C was calculated using the Friedewald equation: LDL-C = total cholesterol − HDL-C − (triglycerides/5), expressed in mg/dL.</w:t>
      </w:r>
      <w:r>
        <w:rPr>
          <w:vertAlign w:val="superscript"/>
        </w:rPr>
        <w:t xml:space="preserve">14</w:t>
      </w:r>
      <w:r>
        <w:t xml:space="preserve"> </w:t>
      </w:r>
      <w:r>
        <w:t xml:space="preserve">Calculations were restricted to participants with triglycerides &lt;400 mg/dL, above which the Friedewald equation becomes unreliable.</w:t>
      </w:r>
    </w:p>
    <w:p>
      <w:pPr>
        <w:pStyle w:val="BodyText"/>
      </w:pPr>
      <w:r>
        <w:rPr>
          <w:b/>
          <w:bCs/>
        </w:rPr>
        <w:t xml:space="preserve">High-sensitivity C-reactive protein.</w:t>
      </w:r>
      <w:r>
        <w:t xml:space="preserve"> </w:t>
      </w:r>
      <w:r>
        <w:t xml:space="preserve">hs-CRP was measured in serum using latex-enhanced nephelometry.</w:t>
      </w:r>
      <w:r>
        <w:rPr>
          <w:vertAlign w:val="superscript"/>
        </w:rPr>
        <w:t xml:space="preserve">15</w:t>
      </w:r>
      <w:r>
        <w:t xml:space="preserve"> </w:t>
      </w:r>
      <w:r>
        <w:t xml:space="preserve">The threshold of ≥2 mg/L was used to define elevated inflammatory risk based on established cardiovascular risk stratification guidelines.</w:t>
      </w:r>
      <w:r>
        <w:rPr>
          <w:vertAlign w:val="superscript"/>
        </w:rPr>
        <w:t xml:space="preserve">16</w:t>
      </w:r>
    </w:p>
    <w:p>
      <w:pPr>
        <w:pStyle w:val="BodyText"/>
      </w:pPr>
      <w:r>
        <w:rPr>
          <w:b/>
          <w:bCs/>
        </w:rPr>
        <w:t xml:space="preserve">Diabetes.</w:t>
      </w:r>
      <w:r>
        <w:t xml:space="preserve"> </w:t>
      </w:r>
      <w:r>
        <w:t xml:space="preserve">Diabetes was defined as: HbA1c ≥6.5%, fasting plasma glucose ≥126 mg/dL, self-reported physician diagnosis, or current use of insulin or oral hypoglycemic agents, consistent with American Diabetes Association criteria.</w:t>
      </w:r>
      <w:r>
        <w:rPr>
          <w:vertAlign w:val="superscript"/>
        </w:rPr>
        <w:t xml:space="preserve">17</w:t>
      </w:r>
    </w:p>
    <w:p>
      <w:pPr>
        <w:pStyle w:val="BodyText"/>
      </w:pPr>
      <w:r>
        <w:rPr>
          <w:b/>
          <w:bCs/>
        </w:rPr>
        <w:t xml:space="preserve">Prediabetes.</w:t>
      </w:r>
      <w:r>
        <w:t xml:space="preserve"> </w:t>
      </w:r>
      <w:r>
        <w:t xml:space="preserve">Prediabetes was defined as HbA1c 5.7-6.4% or fasting glucose 100-125 mg/dL in the absence of diabetes.</w:t>
      </w:r>
      <w:r>
        <w:rPr>
          <w:vertAlign w:val="superscript"/>
        </w:rPr>
        <w:t xml:space="preserve">17</w:t>
      </w:r>
    </w:p>
    <w:p>
      <w:pPr>
        <w:pStyle w:val="BodyText"/>
      </w:pPr>
      <w:r>
        <w:rPr>
          <w:b/>
          <w:bCs/>
        </w:rPr>
        <w:t xml:space="preserve">Glycemic status.</w:t>
      </w:r>
      <w:r>
        <w:t xml:space="preserve"> </w:t>
      </w:r>
      <w:r>
        <w:t xml:space="preserve">Participants were categorized into mutually exclusive groups: diabetes, prediabetes, or normal glycemia.</w:t>
      </w:r>
    </w:p>
    <w:p>
      <w:pPr>
        <w:pStyle w:val="BodyText"/>
      </w:pPr>
      <w:r>
        <w:rPr>
          <w:b/>
          <w:bCs/>
        </w:rPr>
        <w:t xml:space="preserve">Hypertension.</w:t>
      </w:r>
      <w:r>
        <w:t xml:space="preserve"> </w:t>
      </w:r>
      <w:r>
        <w:t xml:space="preserve">Hypertension was defined as systolic blood pressure ≥130 mm Hg, diastolic blood pressure ≥80 mm Hg (mean of up to three measurements), or self-reported current use of antihypertensive medication.</w:t>
      </w:r>
      <w:r>
        <w:rPr>
          <w:vertAlign w:val="superscript"/>
        </w:rPr>
        <w:t xml:space="preserve">18</w:t>
      </w:r>
    </w:p>
    <w:p>
      <w:pPr>
        <w:pStyle w:val="BodyText"/>
      </w:pPr>
      <w:r>
        <w:rPr>
          <w:b/>
          <w:bCs/>
        </w:rPr>
        <w:t xml:space="preserve">Obesity.</w:t>
      </w:r>
      <w:r>
        <w:t xml:space="preserve"> </w:t>
      </w:r>
      <w:r>
        <w:t xml:space="preserve">Body mass index (BMI) ≥30 kg/m², calculated from measured height and weight.</w:t>
      </w:r>
    </w:p>
    <w:p>
      <w:pPr>
        <w:pStyle w:val="BodyText"/>
      </w:pPr>
      <w:r>
        <w:rPr>
          <w:b/>
          <w:bCs/>
        </w:rPr>
        <w:t xml:space="preserve">Smoking status.</w:t>
      </w:r>
      <w:r>
        <w:t xml:space="preserve"> </w:t>
      </w:r>
      <w:r>
        <w:t xml:space="preserve">Current smoking was defined as self-report of ≥100 lifetime cigarettes and currently smoking every day or some days.</w:t>
      </w:r>
    </w:p>
    <w:p>
      <w:pPr>
        <w:pStyle w:val="BodyText"/>
      </w:pPr>
      <w:r>
        <w:rPr>
          <w:b/>
          <w:bCs/>
        </w:rPr>
        <w:t xml:space="preserve">Race and ethnicity.</w:t>
      </w:r>
      <w:r>
        <w:t xml:space="preserve"> </w:t>
      </w:r>
      <w:r>
        <w:t xml:space="preserve">Self-reported race and Hispanic origin were combined into five categories per NHANES public-use file classifications: Mexican American, Other Hispanic, Non-Hispanic White, Non-Hispanic Black, and Other/Multi-racial.</w:t>
      </w:r>
    </w:p>
    <w:bookmarkEnd w:id="24"/>
    <w:bookmarkStart w:id="25" w:name="outcomes"/>
    <w:p>
      <w:pPr>
        <w:pStyle w:val="Heading3"/>
      </w:pPr>
      <w:r>
        <w:t xml:space="preserve">OUTCOMES</w:t>
      </w:r>
    </w:p>
    <w:p>
      <w:pPr>
        <w:pStyle w:val="FirstParagraph"/>
      </w:pPr>
      <w:r>
        <w:rPr>
          <w:b/>
          <w:bCs/>
        </w:rPr>
        <w:t xml:space="preserve">Primary outcome.</w:t>
      </w:r>
      <w:r>
        <w:t xml:space="preserve"> </w:t>
      </w:r>
      <w:r>
        <w:t xml:space="preserve">Residual inflammatory risk (RIR) was defined as the co-occurrence of: (1) current statin use, (2) LDL-C &lt;70 mg/dL, and (3) hs-CRP ≥2 mg/L.</w:t>
      </w:r>
    </w:p>
    <w:p>
      <w:pPr>
        <w:pStyle w:val="BodyText"/>
      </w:pPr>
      <w:r>
        <w:rPr>
          <w:b/>
          <w:bCs/>
        </w:rPr>
        <w:t xml:space="preserve">Sensitivity analyses.</w:t>
      </w:r>
      <w:r>
        <w:t xml:space="preserve"> </w:t>
      </w:r>
      <w:r>
        <w:t xml:space="preserve">Alternative hs-CRP thresholds (≥1.5, ≥2.5, ≥3, ≥4, ≥5 mg/L) and LDL-C thresholds (&lt;55, &lt;60, &lt;65, &lt;80, &lt;100 mg/dL) were examined.</w:t>
      </w:r>
    </w:p>
    <w:bookmarkEnd w:id="25"/>
    <w:bookmarkStart w:id="26" w:name="stratification-variables"/>
    <w:p>
      <w:pPr>
        <w:pStyle w:val="Heading3"/>
      </w:pPr>
      <w:r>
        <w:t xml:space="preserve">STRATIFICATION VARIABLES</w:t>
      </w:r>
    </w:p>
    <w:p>
      <w:pPr>
        <w:pStyle w:val="FirstParagraph"/>
      </w:pPr>
      <w:r>
        <w:rPr>
          <w:b/>
          <w:bCs/>
        </w:rPr>
        <w:t xml:space="preserve">LDL-C and statin status.</w:t>
      </w:r>
      <w:r>
        <w:t xml:space="preserve"> </w:t>
      </w:r>
      <w:r>
        <w:t xml:space="preserve">Participants were cross-classified into six groups based on LDL-C (≤70, 70-130, &gt;130 mg/dL) and statin use (user, non-user).</w:t>
      </w:r>
    </w:p>
    <w:p>
      <w:pPr>
        <w:pStyle w:val="BodyText"/>
      </w:pPr>
      <w:r>
        <w:rPr>
          <w:b/>
          <w:bCs/>
        </w:rPr>
        <w:t xml:space="preserve">Glycemic status.</w:t>
      </w:r>
      <w:r>
        <w:t xml:space="preserve"> </w:t>
      </w:r>
      <w:r>
        <w:t xml:space="preserve">Normal, prediabetes, diabetes.</w:t>
      </w:r>
    </w:p>
    <w:p>
      <w:pPr>
        <w:pStyle w:val="BodyText"/>
      </w:pPr>
      <w:r>
        <w:rPr>
          <w:b/>
          <w:bCs/>
        </w:rPr>
        <w:t xml:space="preserve">Sex.</w:t>
      </w:r>
      <w:r>
        <w:t xml:space="preserve"> </w:t>
      </w:r>
      <w:r>
        <w:t xml:space="preserve">Male, female (self-reported).</w:t>
      </w:r>
    </w:p>
    <w:bookmarkEnd w:id="26"/>
    <w:bookmarkStart w:id="27" w:name="statistical-analysis"/>
    <w:p>
      <w:pPr>
        <w:pStyle w:val="Heading3"/>
      </w:pPr>
      <w:r>
        <w:t xml:space="preserve">STATISTICAL ANALYSIS</w:t>
      </w:r>
    </w:p>
    <w:p>
      <w:pPr>
        <w:pStyle w:val="FirstParagraph"/>
      </w:pPr>
      <w:r>
        <w:t xml:space="preserve">All analyses incorporated NHANES complex survey design elements: primary sampling units (SDMVPSU), strata (SDMVSTRA), and sampling weights.</w:t>
      </w:r>
      <w:r>
        <w:rPr>
          <w:vertAlign w:val="superscript"/>
        </w:rPr>
        <w:t xml:space="preserve">12</w:t>
      </w:r>
      <w:r>
        <w:t xml:space="preserve"> </w:t>
      </w:r>
      <w:r>
        <w:t xml:space="preserve">Fasting subsample weights (WTSAF2YR for 2005-2016; WTSAFPRP for 2017-2020) were used and divided by the number of cycles (n=5) to appropriately combine data across cycles. The lonely primary sampling unit adjustment was applied.</w:t>
      </w:r>
    </w:p>
    <w:p>
      <w:pPr>
        <w:pStyle w:val="BodyText"/>
      </w:pPr>
      <w:r>
        <w:rPr>
          <w:b/>
          <w:bCs/>
        </w:rPr>
        <w:t xml:space="preserve">Primary analysis.</w:t>
      </w:r>
      <w:r>
        <w:t xml:space="preserve"> </w:t>
      </w:r>
      <w:r>
        <w:t xml:space="preserve">Survey-weighted prevalence of RIR was estimated among statin users with LDL-C &lt;70 mg/dL with 95% confidence intervals (CIs) calculated using Taylor series linearization.</w:t>
      </w:r>
    </w:p>
    <w:p>
      <w:pPr>
        <w:pStyle w:val="BodyText"/>
      </w:pPr>
      <w:r>
        <w:rPr>
          <w:b/>
          <w:bCs/>
        </w:rPr>
        <w:t xml:space="preserve">Exploratory analyses.</w:t>
      </w:r>
      <w:r>
        <w:t xml:space="preserve"> </w:t>
      </w:r>
      <w:r>
        <w:t xml:space="preserve">The following were pre-specified as exploratory and hypothesis-generating: (1) hs-CRP ≥2 mg/L prevalence across six LDL×statin groups; (2) RIR prevalence by glycemic status; (3) sex-stratified prevalence and predictors. These analyses were not powered for formal interaction testing.</w:t>
      </w:r>
    </w:p>
    <w:p>
      <w:pPr>
        <w:pStyle w:val="BodyText"/>
      </w:pPr>
      <w:r>
        <w:rPr>
          <w:b/>
          <w:bCs/>
        </w:rPr>
        <w:t xml:space="preserve">Regression analysis.</w:t>
      </w:r>
      <w:r>
        <w:t xml:space="preserve"> </w:t>
      </w:r>
      <w:r>
        <w:t xml:space="preserve">Survey-weighted logistic regression identified correlates of RIR. Covariates included age (continuous), sex, race/ethnicity, BMI (continuous), diabetes (binary), hypertension (binary), current smoking (binary), and triglycerides (continuous). A parsimonious model was used given the sample size constraints.</w:t>
      </w:r>
    </w:p>
    <w:p>
      <w:pPr>
        <w:pStyle w:val="BodyText"/>
      </w:pPr>
      <w:r>
        <w:rPr>
          <w:b/>
          <w:bCs/>
        </w:rPr>
        <w:t xml:space="preserve">Characteristics comparison.</w:t>
      </w:r>
      <w:r>
        <w:t xml:space="preserve"> </w:t>
      </w:r>
      <w:r>
        <w:t xml:space="preserve">Survey-weighted means (continuous variables) and proportions (categorical variables) were compared between RIR and non-RIR groups using survey-adjusted t-tests and design-based chi-square tests, respectively.</w:t>
      </w:r>
    </w:p>
    <w:p>
      <w:pPr>
        <w:pStyle w:val="BodyText"/>
      </w:pPr>
      <w:r>
        <w:rPr>
          <w:b/>
          <w:bCs/>
        </w:rPr>
        <w:t xml:space="preserve">Missing data.</w:t>
      </w:r>
      <w:r>
        <w:t xml:space="preserve"> </w:t>
      </w:r>
      <w:r>
        <w:t xml:space="preserve">Analyses used complete cases for each variable. The proportion of missing data for key variables is reported in Supplemental Table 1.</w:t>
      </w:r>
    </w:p>
    <w:p>
      <w:pPr>
        <w:pStyle w:val="BodyText"/>
      </w:pPr>
      <w:r>
        <w:rPr>
          <w:b/>
          <w:bCs/>
        </w:rPr>
        <w:t xml:space="preserve">Power considerations.</w:t>
      </w:r>
      <w:r>
        <w:t xml:space="preserve"> </w:t>
      </w:r>
      <w:r>
        <w:t xml:space="preserve">The primary cohort included 577 statin users with LDL-C &lt;70 mg/dL and 141 RIR cases. With approximately 24% RIR prevalence, this sample provides 80% power to detect odds ratios ≥1.5 for predictors with moderate prevalence (30-50%). Regression analyses are underpowered for smaller effect sizes.</w:t>
      </w:r>
    </w:p>
    <w:p>
      <w:pPr>
        <w:pStyle w:val="BodyText"/>
      </w:pPr>
      <w:r>
        <w:rPr>
          <w:b/>
          <w:bCs/>
        </w:rPr>
        <w:t xml:space="preserve">Software.</w:t>
      </w:r>
      <w:r>
        <w:t xml:space="preserve"> </w:t>
      </w:r>
      <w:r>
        <w:t xml:space="preserve">Analyses were performed using R version 4.3.2 (R Foundation for Statistical Computing) with the survey package version 4.2.</w:t>
      </w:r>
      <w:r>
        <w:rPr>
          <w:vertAlign w:val="superscript"/>
        </w:rPr>
        <w:t xml:space="preserve">19</w:t>
      </w:r>
      <w:r>
        <w:t xml:space="preserve"> </w:t>
      </w:r>
      <w:r>
        <w:t xml:space="preserve">Two-sided P&lt;0.05 defined statistical significance.</w:t>
      </w:r>
    </w:p>
    <w:bookmarkEnd w:id="27"/>
    <w:bookmarkStart w:id="28" w:name="ethical-statement"/>
    <w:p>
      <w:pPr>
        <w:pStyle w:val="Heading3"/>
      </w:pPr>
      <w:r>
        <w:t xml:space="preserve">ETHICAL STATEMENT</w:t>
      </w:r>
    </w:p>
    <w:p>
      <w:pPr>
        <w:pStyle w:val="FirstParagraph"/>
      </w:pPr>
      <w:r>
        <w:t xml:space="preserve">NHANES protocols were approved by the NCHS Research Ethics Review Board, and all participants provided written informed consent. This secondary analysis of publicly available, de-identified data is exempt from institutional review board review per 45 CFR 46.104(d)(4).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7" w:name="results"/>
    <w:p>
      <w:pPr>
        <w:pStyle w:val="Heading2"/>
      </w:pPr>
      <w:r>
        <w:t xml:space="preserve">RESULTS</w:t>
      </w:r>
    </w:p>
    <w:bookmarkStart w:id="30" w:name="study-population"/>
    <w:p>
      <w:pPr>
        <w:pStyle w:val="Heading3"/>
      </w:pPr>
      <w:r>
        <w:t xml:space="preserve">STUDY POPULATION</w:t>
      </w:r>
    </w:p>
    <w:p>
      <w:pPr>
        <w:pStyle w:val="FirstParagraph"/>
      </w:pPr>
      <w:r>
        <w:t xml:space="preserve">From NHANES 2005-2010 and 2015-2020, 12,896 fasting adults aged ≥20 years with hs-CRP ≤10 mg/L were included (Figure S1, patient flow diagram). The survey-weighted prevalence of statin use was 19.6% (n=2,527 unweighted). Among statin users, 577 (unweighted) achieved LDL-C &lt;70 mg/dL, representing the primary analytic cohort. Of these, 141 participants met RIR criteria.</w:t>
      </w:r>
    </w:p>
    <w:p>
      <w:pPr>
        <w:pStyle w:val="BodyText"/>
      </w:pPr>
      <w:r>
        <w:t xml:space="preserve">Baseline characteristics by RIR status are shown in</w:t>
      </w:r>
      <w:r>
        <w:t xml:space="preserve"> </w:t>
      </w:r>
      <w:r>
        <w:rPr>
          <w:b/>
          <w:bCs/>
        </w:rPr>
        <w:t xml:space="preserve">Table 1</w:t>
      </w:r>
      <w:r>
        <w:t xml:space="preserve">. Mean age was similar between groups (No RIR: 66.2 years; RIR: 65.4 years; P=0.64). Participants with RIR had significantly higher BMI (32.4 vs 29.8 kg/m², P=0.039), higher HbA1c (6.9% vs 6.2%, P=0.032), and more prevalent hypertension (87.9% vs 76.8%, P=0.042). By definition, hs-CRP was markedly higher in the RIR group (4.1 vs 0.6 mg/L, P&lt;0.001). Diabetes prevalence was numerically higher in the RIR group (64.6% vs 51.1%) but did not reach statistical significance (P=0.19), likely reflecting limited power for this comparison.</w:t>
      </w:r>
    </w:p>
    <w:bookmarkEnd w:id="30"/>
    <w:bookmarkStart w:id="31" w:name="primary-outcome"/>
    <w:p>
      <w:pPr>
        <w:pStyle w:val="Heading3"/>
      </w:pPr>
      <w:r>
        <w:t xml:space="preserve">PRIMARY OUTCOME</w:t>
      </w:r>
    </w:p>
    <w:p>
      <w:pPr>
        <w:pStyle w:val="FirstParagraph"/>
      </w:pPr>
      <w:r>
        <w:t xml:space="preserve">Among statin users with LDL-C &lt;70 mg/dL (n=577), the survey-weighted prevalence of RIR was</w:t>
      </w:r>
      <w:r>
        <w:t xml:space="preserve"> </w:t>
      </w:r>
      <w:r>
        <w:rPr>
          <w:b/>
          <w:bCs/>
        </w:rPr>
        <w:t xml:space="preserve">21.9% (95% CI: 15.9%-27.9%)</w:t>
      </w:r>
      <w:r>
        <w:t xml:space="preserve">. Using the more stringent hs-CRP ≥3 mg/L threshold, RIR prevalence was 13.4% (95% CI: 8.8%-18.0%).</w:t>
      </w:r>
    </w:p>
    <w:p>
      <w:pPr>
        <w:pStyle w:val="BodyText"/>
      </w:pPr>
      <w:r>
        <w:t xml:space="preserve">Among the subset achieving LDL-C &lt;55 mg/dL (n=213), RIR prevalence was 26.9% (95% CI: 17.0%-36.8%), indicating that elevated inflammatory burden persists even with more aggressive lipid lowering.</w:t>
      </w:r>
    </w:p>
    <w:bookmarkEnd w:id="31"/>
    <w:bookmarkStart w:id="32" w:name="exploratory-6-group-ldlstatin-analysis"/>
    <w:p>
      <w:pPr>
        <w:pStyle w:val="Heading3"/>
      </w:pPr>
      <w:r>
        <w:t xml:space="preserve">EXPLORATORY: 6-GROUP LDL×STATIN ANALYSIS</w:t>
      </w:r>
    </w:p>
    <w:p>
      <w:pPr>
        <w:pStyle w:val="FirstParagraph"/>
      </w:pPr>
      <w:r>
        <w:t xml:space="preserve">hs-CRP ≥2 mg/L prevalence was examined across six LDL×statin groups (</w:t>
      </w:r>
      <w:r>
        <w:rPr>
          <w:b/>
          <w:bCs/>
        </w:rPr>
        <w:t xml:space="preserve">Table 2</w:t>
      </w:r>
      <w:r>
        <w:t xml:space="preserve">,</w:t>
      </w:r>
      <w:r>
        <w:t xml:space="preserve"> </w:t>
      </w:r>
      <w:r>
        <w:rPr>
          <w:b/>
          <w:bCs/>
        </w:rPr>
        <w:t xml:space="preserve">Figure 1</w:t>
      </w:r>
      <w:r>
        <w:t xml:space="preserve">). Within each LDL-C tier, statin users had higher hs-CRP prevalence than non-users: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LDL-C Category</w:t>
            </w:r>
          </w:p>
        </w:tc>
        <w:tc>
          <w:tcPr/>
          <w:p>
            <w:pPr>
              <w:pStyle w:val="Compact"/>
            </w:pPr>
            <w:r>
              <w:t xml:space="preserve">Statin Users</w:t>
            </w:r>
          </w:p>
        </w:tc>
        <w:tc>
          <w:tcPr/>
          <w:p>
            <w:pPr>
              <w:pStyle w:val="Compact"/>
            </w:pPr>
            <w:r>
              <w:t xml:space="preserve">Non-Users</w:t>
            </w:r>
          </w:p>
        </w:tc>
        <w:tc>
          <w:tcPr/>
          <w:p>
            <w:pPr>
              <w:pStyle w:val="Compact"/>
            </w:pPr>
            <w:r>
              <w:t xml:space="preserve">Difference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≤70 mg/dL</w:t>
            </w:r>
          </w:p>
        </w:tc>
        <w:tc>
          <w:tcPr/>
          <w:p>
            <w:pPr>
              <w:pStyle w:val="Compact"/>
            </w:pPr>
            <w:r>
              <w:t xml:space="preserve">22.4% (SE 3.0%)</w:t>
            </w:r>
          </w:p>
        </w:tc>
        <w:tc>
          <w:tcPr/>
          <w:p>
            <w:pPr>
              <w:pStyle w:val="Compact"/>
            </w:pPr>
            <w:r>
              <w:t xml:space="preserve">14.5% (SE 2.0%)</w:t>
            </w:r>
          </w:p>
        </w:tc>
        <w:tc>
          <w:tcPr/>
          <w:p>
            <w:pPr>
              <w:pStyle w:val="Compact"/>
            </w:pPr>
            <w:r>
              <w:t xml:space="preserve">+7.9 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70-130 mg/dL</w:t>
            </w:r>
          </w:p>
        </w:tc>
        <w:tc>
          <w:tcPr/>
          <w:p>
            <w:pPr>
              <w:pStyle w:val="Compact"/>
            </w:pPr>
            <w:r>
              <w:t xml:space="preserve">20.1% (SE 1.8%)</w:t>
            </w:r>
          </w:p>
        </w:tc>
        <w:tc>
          <w:tcPr/>
          <w:p>
            <w:pPr>
              <w:pStyle w:val="Compact"/>
            </w:pPr>
            <w:r>
              <w:t xml:space="preserve">17.7% (SE 0.8%)</w:t>
            </w:r>
          </w:p>
        </w:tc>
        <w:tc>
          <w:tcPr/>
          <w:p>
            <w:pPr>
              <w:pStyle w:val="Compact"/>
            </w:pPr>
            <w:r>
              <w:t xml:space="preserve">+2.4 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&gt;130 mg/dL</w:t>
            </w:r>
          </w:p>
        </w:tc>
        <w:tc>
          <w:tcPr/>
          <w:p>
            <w:pPr>
              <w:pStyle w:val="Compact"/>
            </w:pPr>
            <w:r>
              <w:t xml:space="preserve">27.0% (SE 4.6%)</w:t>
            </w:r>
          </w:p>
        </w:tc>
        <w:tc>
          <w:tcPr/>
          <w:p>
            <w:pPr>
              <w:pStyle w:val="Compact"/>
            </w:pPr>
            <w:r>
              <w:t xml:space="preserve">19.8% (SE 1.3%)</w:t>
            </w:r>
          </w:p>
        </w:tc>
        <w:tc>
          <w:tcPr/>
          <w:p>
            <w:pPr>
              <w:pStyle w:val="Compact"/>
            </w:pPr>
            <w:r>
              <w:t xml:space="preserve">+7.2 pp</w:t>
            </w:r>
          </w:p>
        </w:tc>
      </w:tr>
    </w:tbl>
    <w:p>
      <w:pPr>
        <w:pStyle w:val="BodyText"/>
      </w:pPr>
      <w:r>
        <w:t xml:space="preserve">Abbreviation: pp, percentage points.</w:t>
      </w:r>
    </w:p>
    <w:p>
      <w:pPr>
        <w:pStyle w:val="BodyText"/>
      </w:pPr>
      <w:r>
        <w:t xml:space="preserve">Of note, 14.5% of non-statin users with LDL-C ≤70 mg/dL had hs-CRP ≥2 mg/L, representing individuals with low LDL-C and elevated inflammation without statin exposure. This pattern may reflect underlying metabolic-inflammatory status rather than a distinct clinical phenotype and warrants investigation in longitudinal studies.</w:t>
      </w:r>
    </w:p>
    <w:bookmarkEnd w:id="32"/>
    <w:bookmarkStart w:id="33" w:name="exploratory-glycemic-status"/>
    <w:p>
      <w:pPr>
        <w:pStyle w:val="Heading3"/>
      </w:pPr>
      <w:r>
        <w:t xml:space="preserve">EXPLORATORY: GLYCEMIC STATUS</w:t>
      </w:r>
    </w:p>
    <w:p>
      <w:pPr>
        <w:pStyle w:val="FirstParagraph"/>
      </w:pPr>
      <w:r>
        <w:t xml:space="preserve">Among statin users with LDL-C &lt;70 mg/dL, RIR prevalence increased across glycemic categories (</w:t>
      </w:r>
      <w:r>
        <w:rPr>
          <w:b/>
          <w:bCs/>
        </w:rPr>
        <w:t xml:space="preserve">Table 2</w:t>
      </w:r>
      <w:r>
        <w:t xml:space="preserve">,</w:t>
      </w:r>
      <w:r>
        <w:t xml:space="preserve"> </w:t>
      </w:r>
      <w:r>
        <w:rPr>
          <w:b/>
          <w:bCs/>
        </w:rPr>
        <w:t xml:space="preserve">Figure 2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Glycemic Status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RIR Prevalence</w:t>
            </w:r>
          </w:p>
        </w:tc>
        <w:tc>
          <w:tcPr/>
          <w:p>
            <w:pPr>
              <w:pStyle w:val="Compact"/>
            </w:pPr>
            <w:r>
              <w:t xml:space="preserve">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t xml:space="preserve">15.3%</w:t>
            </w:r>
          </w:p>
        </w:tc>
        <w:tc>
          <w:tcPr/>
          <w:p>
            <w:pPr>
              <w:pStyle w:val="Compact"/>
            </w:pPr>
            <w:r>
              <w:t xml:space="preserve">9.3%*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Prediabetes</w:t>
            </w:r>
          </w:p>
        </w:tc>
        <w:tc>
          <w:tcPr/>
          <w:p>
            <w:pPr>
              <w:pStyle w:val="Compact"/>
            </w:pPr>
            <w:r>
              <w:t xml:space="preserve">180</w:t>
            </w:r>
          </w:p>
        </w:tc>
        <w:tc>
          <w:tcPr/>
          <w:p>
            <w:pPr>
              <w:pStyle w:val="Compact"/>
            </w:pPr>
            <w:r>
              <w:t xml:space="preserve">17.4%</w:t>
            </w:r>
          </w:p>
        </w:tc>
        <w:tc>
          <w:tcPr/>
          <w:p>
            <w:pPr>
              <w:pStyle w:val="Compact"/>
            </w:pPr>
            <w:r>
              <w:t xml:space="preserve">5.2%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Diabetes</w:t>
            </w:r>
          </w:p>
        </w:tc>
        <w:tc>
          <w:tcPr/>
          <w:p>
            <w:pPr>
              <w:pStyle w:val="Compact"/>
            </w:pPr>
            <w:r>
              <w:t xml:space="preserve">350</w:t>
            </w:r>
          </w:p>
        </w:tc>
        <w:tc>
          <w:tcPr/>
          <w:p>
            <w:pPr>
              <w:pStyle w:val="Compact"/>
            </w:pPr>
            <w:r>
              <w:t xml:space="preserve">26.2%</w:t>
            </w:r>
          </w:p>
        </w:tc>
        <w:tc>
          <w:tcPr/>
          <w:p>
            <w:pPr>
              <w:pStyle w:val="Compact"/>
            </w:pPr>
            <w:r>
              <w:t xml:space="preserve">4.8%</w:t>
            </w:r>
          </w:p>
        </w:tc>
      </w:tr>
    </w:tbl>
    <w:p>
      <w:pPr>
        <w:pStyle w:val="BodyText"/>
      </w:pPr>
      <w:r>
        <w:t xml:space="preserve">*Note: The normal glycemia estimate has high imprecision due to small sample size.</w:t>
      </w:r>
    </w:p>
    <w:p>
      <w:pPr>
        <w:pStyle w:val="BodyText"/>
      </w:pPr>
      <w:r>
        <w:t xml:space="preserve">This gradient was consistent across all six LDL×statin groups (Table 2B), with diabetics showing highest hs-CRP ≥2 mg/L prevalence regardless of LDL-C tier or statin status.</w:t>
      </w:r>
    </w:p>
    <w:bookmarkEnd w:id="33"/>
    <w:bookmarkStart w:id="34" w:name="exploratory-sex-differences"/>
    <w:p>
      <w:pPr>
        <w:pStyle w:val="Heading3"/>
      </w:pPr>
      <w:r>
        <w:t xml:space="preserve">EXPLORATORY: SEX DIFFERENCES</w:t>
      </w:r>
    </w:p>
    <w:p>
      <w:pPr>
        <w:pStyle w:val="FirstParagraph"/>
      </w:pPr>
      <w:r>
        <w:t xml:space="preserve">Women showed higher hs-CRP ≥2 mg/L prevalence than men in most subgroups (</w:t>
      </w:r>
      <w:r>
        <w:rPr>
          <w:b/>
          <w:bCs/>
        </w:rPr>
        <w:t xml:space="preserve">Table 2C</w:t>
      </w:r>
      <w:r>
        <w:t xml:space="preserve">,</w:t>
      </w:r>
      <w:r>
        <w:t xml:space="preserve"> </w:t>
      </w:r>
      <w:r>
        <w:rPr>
          <w:b/>
          <w:bCs/>
        </w:rPr>
        <w:t xml:space="preserve">Figure 3</w:t>
      </w:r>
      <w:r>
        <w:t xml:space="preserve">):</w:t>
      </w:r>
    </w:p>
    <w:p>
      <w:pPr>
        <w:pStyle w:val="Compact"/>
        <w:numPr>
          <w:ilvl w:val="0"/>
          <w:numId w:val="1001"/>
        </w:numPr>
      </w:pPr>
      <w:r>
        <w:t xml:space="preserve">LDL ≤70, no statin: Women 18.3% vs Men 9.7% (difference: 8.6 pp)</w:t>
      </w:r>
    </w:p>
    <w:p>
      <w:pPr>
        <w:pStyle w:val="Compact"/>
        <w:numPr>
          <w:ilvl w:val="0"/>
          <w:numId w:val="1001"/>
        </w:numPr>
      </w:pPr>
      <w:r>
        <w:t xml:space="preserve">LDL &gt;130, statin: Women 32.0% vs Men 20.4% (difference: 11.6 pp)</w:t>
      </w:r>
    </w:p>
    <w:p>
      <w:pPr>
        <w:pStyle w:val="FirstParagraph"/>
      </w:pPr>
      <w:r>
        <w:t xml:space="preserve">In sex-specific regression models among statin users with LDL-C &lt;70 mg/dL, BMI was a significant predictor of RIR in women (OR 1.07 per kg/m², 95% CI: 1.01-1.14, P=0.02) but not in men (OR 1.03, 95% CI: 0.93-1.14, P=0.59). Age was also significant in women (OR 1.04 per year, 95% CI: 1.00-1.08, P=0.04) but not men.</w:t>
      </w:r>
    </w:p>
    <w:bookmarkEnd w:id="34"/>
    <w:bookmarkStart w:id="35" w:name="predictors-of-rir"/>
    <w:p>
      <w:pPr>
        <w:pStyle w:val="Heading3"/>
      </w:pPr>
      <w:r>
        <w:t xml:space="preserve">PREDICTORS OF RIR</w:t>
      </w:r>
    </w:p>
    <w:p>
      <w:pPr>
        <w:pStyle w:val="FirstParagraph"/>
      </w:pPr>
      <w:r>
        <w:t xml:space="preserve">In survey-weighted logistic regression for the full primary cohort (</w:t>
      </w:r>
      <w:r>
        <w:rPr>
          <w:b/>
          <w:bCs/>
        </w:rPr>
        <w:t xml:space="preserve">Table 3</w:t>
      </w:r>
      <w:r>
        <w:t xml:space="preserve">), no individual predictor achieved P&lt;0.05. BMI showed a trend (OR 1.05 per kg/m², 95% CI: 1.00-1.11, P=0.055). Elevated point estimates were observed for diabetes (OR 1.64, 95% CI: 0.73-3.67), hypertension (OR 1.96, 95% CI: 0.82-4.71), and current smoking (OR 1.96, 95% CI: 0.74-5.19), but confidence intervals included 1.0. These null findings likely reflect limited statistical power rather than absence of association.</w:t>
      </w:r>
    </w:p>
    <w:bookmarkEnd w:id="35"/>
    <w:bookmarkStart w:id="36" w:name="sensitivity-analyses"/>
    <w:p>
      <w:pPr>
        <w:pStyle w:val="Heading3"/>
      </w:pPr>
      <w:r>
        <w:t xml:space="preserve">SENSITIVITY ANALYSES</w:t>
      </w:r>
    </w:p>
    <w:p>
      <w:pPr>
        <w:pStyle w:val="FirstParagraph"/>
      </w:pPr>
      <w:r>
        <w:t xml:space="preserve">RIR prevalence exhibited a dose-response relationship across hs-CRP thresholds (</w:t>
      </w:r>
      <w:r>
        <w:rPr>
          <w:b/>
          <w:bCs/>
        </w:rPr>
        <w:t xml:space="preserve">Supplemental Table 2</w:t>
      </w:r>
      <w:r>
        <w:t xml:space="preserve">): 29.6% at ≥1.5 mg/L, decreasing to 6.4% at ≥5.0 mg/L. Across LDL-C thresholds, prevalence remained stable (range: 20.7%-26.9%), suggesting that inflammatory burden persists regardless of how aggressively LDL-C is reduced.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discussion"/>
    <w:p>
      <w:pPr>
        <w:pStyle w:val="Heading2"/>
      </w:pPr>
      <w:r>
        <w:t xml:space="preserve">DISCUSSION</w:t>
      </w:r>
    </w:p>
    <w:p>
      <w:pPr>
        <w:pStyle w:val="FirstParagraph"/>
      </w:pPr>
      <w:r>
        <w:t xml:space="preserve">In this nationally representative analysis of U.S. adults, approximately one in five statin-treated individuals achieving LDL-C &lt;70 mg/dL had residual inflammatory risk, defined as hs-CRP ≥2 mg/L despite lipid goal attainment. This estimate provides population-level quantification of on-treatment inflammation among patients meeting guideline-recommended lipid targets and is consistent with—though somewhat lower than—estimates from clinical trial populations with enriched cardiovascular risk.</w:t>
      </w:r>
      <w:r>
        <w:rPr>
          <w:vertAlign w:val="superscript"/>
        </w:rPr>
        <w:t xml:space="preserve">10</w:t>
      </w:r>
    </w:p>
    <w:p>
      <w:pPr>
        <w:pStyle w:val="BodyText"/>
      </w:pPr>
      <w:r>
        <w:t xml:space="preserve">The observation that statin users had higher hs-CRP prevalence than non-users within each LDL-C tier warrants careful interpretation. This pattern likely reflects confounding by indication: patients prescribed statins have higher underlying cardiovascular risk, more comorbidities (including conditions driving inflammation), and fundamentally differ from non-users with similar LDL-C levels. The cross-sectional design cannot distinguish whether statins fail to fully suppress inflammation or whether statin-treated patients have intrinsically higher inflammatory burden. Importantly, 14.5% of non-statin users with LDL-C ≤70 mg/dL had elevated hs-CRP, suggesting that metabolic-inflammatory phenotypes exist independent of statin exposure. This observation requires validation in prospective cohorts before being characterized as a distinct clinical entity.</w:t>
      </w:r>
    </w:p>
    <w:p>
      <w:pPr>
        <w:pStyle w:val="BodyText"/>
      </w:pPr>
      <w:r>
        <w:t xml:space="preserve">The association between worsening glycemic status and higher RIR prevalence aligns with the American Heart Association’s CKM health framework emphasizing metabolic-inflammatory interconnections.</w:t>
      </w:r>
      <w:r>
        <w:rPr>
          <w:vertAlign w:val="superscript"/>
        </w:rPr>
        <w:t xml:space="preserve">11</w:t>
      </w:r>
      <w:r>
        <w:t xml:space="preserve"> </w:t>
      </w:r>
      <w:r>
        <w:t xml:space="preserve">Diabetics had RIR prevalence approximately 70% higher than those with normal glycemia (26.2% vs 15.3%), though the latter estimate is imprecise. This finding has therapeutic relevance: GLP-1 receptor agonists and SGLT2 inhibitors, which have both glycemic and anti-inflammatory properties, may offer particular benefit in patients with coexistent diabetes and elevated inflammatory markers.</w:t>
      </w:r>
      <w:r>
        <w:rPr>
          <w:vertAlign w:val="superscript"/>
        </w:rPr>
        <w:t xml:space="preserve">20,21</w:t>
      </w:r>
      <w:r>
        <w:t xml:space="preserve"> </w:t>
      </w:r>
      <w:r>
        <w:t xml:space="preserve">The consistency of this gradient across all LDL×statin groups suggests that the diabetes-inflammation association is independent of lipid status.</w:t>
      </w:r>
    </w:p>
    <w:p>
      <w:pPr>
        <w:pStyle w:val="BodyText"/>
      </w:pPr>
      <w:r>
        <w:t xml:space="preserve">Sex differences in inflammatory burden are well-established,</w:t>
      </w:r>
      <w:r>
        <w:rPr>
          <w:vertAlign w:val="superscript"/>
        </w:rPr>
        <w:t xml:space="preserve">22</w:t>
      </w:r>
      <w:r>
        <w:t xml:space="preserve"> </w:t>
      </w:r>
      <w:r>
        <w:t xml:space="preserve">and our findings extend this to the lipid-lowering context. Women showed higher hs-CRP prevalence across most subgroups, and BMI predicted RIR in women but not men. This sex-specific adiposity-inflammation relationship may reflect differences in adipose tissue distribution, hormonal milieu, or immune function. These observations support consideration of sex-specific thresholds or approaches to inflammatory risk assessment, though prospective outcome data are needed before modifying clinical practice.</w:t>
      </w:r>
    </w:p>
    <w:p>
      <w:pPr>
        <w:pStyle w:val="BodyText"/>
      </w:pPr>
      <w:r>
        <w:t xml:space="preserve">From a clinical standpoint, these findings support consideration of hs-CRP measurement in statin-treated patients who have achieved LDL-C goals. With colchicine now endorsed for secondary prevention in patients with established coronary artery disease,</w:t>
      </w:r>
      <w:r>
        <w:rPr>
          <w:vertAlign w:val="superscript"/>
        </w:rPr>
        <w:t xml:space="preserve">9</w:t>
      </w:r>
      <w:r>
        <w:t xml:space="preserve"> </w:t>
      </w:r>
      <w:r>
        <w:t xml:space="preserve">identification of residual inflammatory risk has potential therapeutic implications. The ~22% prevalence estimate suggests a substantial population that could be considered for adjunctive anti-inflammatory therapy evaluation in future trials or guideline discussions, though clinical trials specifically enrolling patients based on post-statin hs-CRP elevation remain limited.</w:t>
      </w:r>
    </w:p>
    <w:bookmarkStart w:id="38" w:name="limitations"/>
    <w:p>
      <w:pPr>
        <w:pStyle w:val="Heading3"/>
      </w:pPr>
      <w:r>
        <w:t xml:space="preserve">LIMITATIONS</w:t>
      </w:r>
    </w:p>
    <w:p>
      <w:pPr>
        <w:pStyle w:val="FirstParagraph"/>
      </w:pPr>
      <w:r>
        <w:t xml:space="preserve">First, the cross-sectional design precludes causal inference; we characterized prevalence but cannot link RIR to cardiovascular outcomes. Second, single hs-CRP measurement may misclassify individuals due to within-person variability; clinical guidelines recommend confirmation with repeat testing.</w:t>
      </w:r>
      <w:r>
        <w:rPr>
          <w:vertAlign w:val="superscript"/>
        </w:rPr>
        <w:t xml:space="preserve">13</w:t>
      </w:r>
      <w:r>
        <w:t xml:space="preserve"> </w:t>
      </w:r>
      <w:r>
        <w:t xml:space="preserve">Third, statin use was self-reported without verification of adherence or intensity. Fourth, NHANES cycles 2011-2014 were excluded due to limitations in harmonizing hs-CRP laboratory data. Fifth, the sample size (N=577, 141 events) limits regression power for detecting modest effect sizes. Sixth, exploratory analyses (LDL×statin, glycemic, sex strata) are hypothesis-generating and were not powered for formal interaction testing. Seventh, the normal glycemia subgroup estimate has high imprecision (SE 9.3%). Finally, residual confounding from unmeasured variables (e.g., inflammatory conditions, medication adherence) cannot be excluded.</w:t>
      </w:r>
    </w:p>
    <w:bookmarkEnd w:id="38"/>
    <w:bookmarkStart w:id="39" w:name="future-directions"/>
    <w:p>
      <w:pPr>
        <w:pStyle w:val="Heading3"/>
      </w:pPr>
      <w:r>
        <w:t xml:space="preserve">FUTURE DIRECTIONS</w:t>
      </w:r>
    </w:p>
    <w:p>
      <w:pPr>
        <w:pStyle w:val="FirstParagraph"/>
      </w:pPr>
      <w:r>
        <w:t xml:space="preserve">Prospective studies linking RIR to cardiovascular outcomes in population-based cohorts would establish the clinical significance of this phenotype. Evaluation of anti-inflammatory therapy efficacy stratified by baseline hs-CRP in patients already achieving LDL-C goals is warranted. Additionally, investigation of whether the sex-specific BMI-inflammation relationship translates to differential outcomes could inform precision prevention strategies.</w:t>
      </w:r>
    </w:p>
    <w:bookmarkEnd w:id="39"/>
    <w:bookmarkStart w:id="40" w:name="conclusions"/>
    <w:p>
      <w:pPr>
        <w:pStyle w:val="Heading3"/>
      </w:pPr>
      <w:r>
        <w:t xml:space="preserve">CONCLUSIONS</w:t>
      </w:r>
    </w:p>
    <w:p>
      <w:pPr>
        <w:pStyle w:val="FirstParagraph"/>
      </w:pPr>
      <w:r>
        <w:t xml:space="preserve">Approximately one in five statin-treated U.S. adults achieving LDL-C &lt;70 mg/dL has residual inflammatory risk defined by hs-CRP ≥2 mg/L. In exploratory analyses, RIR prevalence was higher among diabetics and showed sex-specific patterns, with BMI predicting RIR in women but not men. These nationally representative estimates quantify the burden of on-treatment inflammation and support consideration of hs-CRP screening in statin-treated patients with well-controlled LDL-C, particularly those with diabetes.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references"/>
    <w:p>
      <w:pPr>
        <w:pStyle w:val="Heading2"/>
      </w:pPr>
      <w:r>
        <w:t xml:space="preserve">REFERENCES</w:t>
      </w:r>
    </w:p>
    <w:p>
      <w:pPr>
        <w:numPr>
          <w:ilvl w:val="0"/>
          <w:numId w:val="1002"/>
        </w:numPr>
      </w:pPr>
      <w:r>
        <w:t xml:space="preserve">Cholesterol Treatment Trialists’ Collaboration. Efficacy and safety of more intensive lowering of LDL cholesterol: a meta-analysis of data from 170,000 participants in 26 randomised trials.</w:t>
      </w:r>
      <w:r>
        <w:t xml:space="preserve"> </w:t>
      </w:r>
      <w:r>
        <w:rPr>
          <w:i/>
          <w:iCs/>
        </w:rPr>
        <w:t xml:space="preserve">Lancet</w:t>
      </w:r>
      <w:r>
        <w:t xml:space="preserve">. 2010;376(9753):1670-1681.</w:t>
      </w:r>
    </w:p>
    <w:p>
      <w:pPr>
        <w:numPr>
          <w:ilvl w:val="0"/>
          <w:numId w:val="1002"/>
        </w:numPr>
      </w:pPr>
      <w:r>
        <w:t xml:space="preserve">Grundy SM, Stone NJ, Bailey AL, et al. 2018 AHA/ACC/AACVPR/AAPA/ABC/ACPM/ADA/AGS/APhA/ASPC/NLA/PCNA guideline on the management of blood cholesterol.</w:t>
      </w:r>
      <w:r>
        <w:t xml:space="preserve"> </w:t>
      </w:r>
      <w:r>
        <w:rPr>
          <w:i/>
          <w:iCs/>
        </w:rPr>
        <w:t xml:space="preserve">J Am Coll Cardiol</w:t>
      </w:r>
      <w:r>
        <w:t xml:space="preserve">. 2019;73(24):e285-e350.</w:t>
      </w:r>
    </w:p>
    <w:p>
      <w:pPr>
        <w:numPr>
          <w:ilvl w:val="0"/>
          <w:numId w:val="1002"/>
        </w:numPr>
      </w:pPr>
      <w:r>
        <w:t xml:space="preserve">Ridker PM. Residual inflammatory risk: addressing the obverse side of the atherosclerosis prevention coin.</w:t>
      </w:r>
      <w:r>
        <w:t xml:space="preserve"> </w:t>
      </w:r>
      <w:r>
        <w:rPr>
          <w:i/>
          <w:iCs/>
        </w:rPr>
        <w:t xml:space="preserve">Eur Heart J</w:t>
      </w:r>
      <w:r>
        <w:t xml:space="preserve">. 2016;37(22):1720-1722.</w:t>
      </w:r>
    </w:p>
    <w:p>
      <w:pPr>
        <w:numPr>
          <w:ilvl w:val="0"/>
          <w:numId w:val="1002"/>
        </w:numPr>
      </w:pPr>
      <w:r>
        <w:t xml:space="preserve">Ridker PM, Rifai N, Rose L, Buring JE, Cook NR. Comparison of C-reactive protein and low-density lipoprotein cholesterol levels in the prediction of first cardiovascular events.</w:t>
      </w:r>
      <w:r>
        <w:t xml:space="preserve"> </w:t>
      </w:r>
      <w:r>
        <w:rPr>
          <w:i/>
          <w:iCs/>
        </w:rPr>
        <w:t xml:space="preserve">N Engl J Med</w:t>
      </w:r>
      <w:r>
        <w:t xml:space="preserve">. 2002;347(20):1557-1565.</w:t>
      </w:r>
    </w:p>
    <w:p>
      <w:pPr>
        <w:numPr>
          <w:ilvl w:val="0"/>
          <w:numId w:val="1002"/>
        </w:numPr>
      </w:pPr>
      <w:r>
        <w:t xml:space="preserve">Emerging Risk Factors Collaboration. C-reactive protein concentration and risk of coronary heart disease, stroke, and mortality: an individual participant meta-analysis.</w:t>
      </w:r>
      <w:r>
        <w:t xml:space="preserve"> </w:t>
      </w:r>
      <w:r>
        <w:rPr>
          <w:i/>
          <w:iCs/>
        </w:rPr>
        <w:t xml:space="preserve">Lancet</w:t>
      </w:r>
      <w:r>
        <w:t xml:space="preserve">. 2010;375(9709):132-140.</w:t>
      </w:r>
    </w:p>
    <w:p>
      <w:pPr>
        <w:numPr>
          <w:ilvl w:val="0"/>
          <w:numId w:val="1002"/>
        </w:numPr>
      </w:pPr>
      <w:r>
        <w:t xml:space="preserve">Ridker PM, Everett BM, Thuren T, et al. Antiinflammatory therapy with canakinumab for atherosclerotic disease.</w:t>
      </w:r>
      <w:r>
        <w:t xml:space="preserve"> </w:t>
      </w:r>
      <w:r>
        <w:rPr>
          <w:i/>
          <w:iCs/>
        </w:rPr>
        <w:t xml:space="preserve">N Engl J Med</w:t>
      </w:r>
      <w:r>
        <w:t xml:space="preserve">. 2017;377(12):1119-1131.</w:t>
      </w:r>
    </w:p>
    <w:p>
      <w:pPr>
        <w:numPr>
          <w:ilvl w:val="0"/>
          <w:numId w:val="1002"/>
        </w:numPr>
      </w:pPr>
      <w:r>
        <w:t xml:space="preserve">Tardif JC, Kouz S, Waters DD, et al. Efficacy and safety of low-dose colchicine after myocardial infarction.</w:t>
      </w:r>
      <w:r>
        <w:t xml:space="preserve"> </w:t>
      </w:r>
      <w:r>
        <w:rPr>
          <w:i/>
          <w:iCs/>
        </w:rPr>
        <w:t xml:space="preserve">N Engl J Med</w:t>
      </w:r>
      <w:r>
        <w:t xml:space="preserve">. 2019;381(26):2497-2505.</w:t>
      </w:r>
    </w:p>
    <w:p>
      <w:pPr>
        <w:numPr>
          <w:ilvl w:val="0"/>
          <w:numId w:val="1002"/>
        </w:numPr>
      </w:pPr>
      <w:r>
        <w:t xml:space="preserve">Nidorf SM, Fiolet ATL, Mosterd A, et al. Colchicine in patients with chronic coronary disease.</w:t>
      </w:r>
      <w:r>
        <w:t xml:space="preserve"> </w:t>
      </w:r>
      <w:r>
        <w:rPr>
          <w:i/>
          <w:iCs/>
        </w:rPr>
        <w:t xml:space="preserve">N Engl J Med</w:t>
      </w:r>
      <w:r>
        <w:t xml:space="preserve">. 2020;383(19):1838-1847.</w:t>
      </w:r>
    </w:p>
    <w:p>
      <w:pPr>
        <w:numPr>
          <w:ilvl w:val="0"/>
          <w:numId w:val="1002"/>
        </w:numPr>
      </w:pPr>
      <w:r>
        <w:t xml:space="preserve">Virani SS, Newby LK, Arnold SV, et al. 2023 AHA/ACC/ACCP/ASPC/NLA/PCNA guideline for the management of patients with chronic coronary disease.</w:t>
      </w:r>
      <w:r>
        <w:t xml:space="preserve"> </w:t>
      </w:r>
      <w:r>
        <w:rPr>
          <w:i/>
          <w:iCs/>
        </w:rPr>
        <w:t xml:space="preserve">Circulation</w:t>
      </w:r>
      <w:r>
        <w:t xml:space="preserve">. 2023;148(24):e149-e227.</w:t>
      </w:r>
    </w:p>
    <w:p>
      <w:pPr>
        <w:numPr>
          <w:ilvl w:val="0"/>
          <w:numId w:val="1002"/>
        </w:numPr>
      </w:pPr>
      <w:r>
        <w:t xml:space="preserve">Bohula EA, Giugliano RP, Leiter LA, et al. Inflammatory and cholesterol risk in the FOURIER trial.</w:t>
      </w:r>
      <w:r>
        <w:t xml:space="preserve"> </w:t>
      </w:r>
      <w:r>
        <w:rPr>
          <w:i/>
          <w:iCs/>
        </w:rPr>
        <w:t xml:space="preserve">Circulation</w:t>
      </w:r>
      <w:r>
        <w:t xml:space="preserve">. 2018;138(2):131-140.</w:t>
      </w:r>
    </w:p>
    <w:p>
      <w:pPr>
        <w:numPr>
          <w:ilvl w:val="0"/>
          <w:numId w:val="1002"/>
        </w:numPr>
      </w:pPr>
      <w:r>
        <w:t xml:space="preserve">Ndumele CE, Rangaswami J, Chow SL, et al. Cardiovascular-kidney-metabolic health: a presidential advisory from the American Heart Association.</w:t>
      </w:r>
      <w:r>
        <w:t xml:space="preserve"> </w:t>
      </w:r>
      <w:r>
        <w:rPr>
          <w:i/>
          <w:iCs/>
        </w:rPr>
        <w:t xml:space="preserve">Circulation</w:t>
      </w:r>
      <w:r>
        <w:t xml:space="preserve">. 2023;148(20):1606-1635.</w:t>
      </w:r>
    </w:p>
    <w:p>
      <w:pPr>
        <w:numPr>
          <w:ilvl w:val="0"/>
          <w:numId w:val="1002"/>
        </w:numPr>
      </w:pPr>
      <w:r>
        <w:t xml:space="preserve">Johnson CL, Paulose-Ram R, Ogden CL, et al. National Health and Nutrition Examination Survey: analytic guidelines, 1999-2010.</w:t>
      </w:r>
      <w:r>
        <w:t xml:space="preserve"> </w:t>
      </w:r>
      <w:r>
        <w:rPr>
          <w:i/>
          <w:iCs/>
        </w:rPr>
        <w:t xml:space="preserve">Vital Health Stat 2</w:t>
      </w:r>
      <w:r>
        <w:t xml:space="preserve">. 2013;(161):1-24.</w:t>
      </w:r>
    </w:p>
    <w:p>
      <w:pPr>
        <w:numPr>
          <w:ilvl w:val="0"/>
          <w:numId w:val="1002"/>
        </w:numPr>
      </w:pPr>
      <w:r>
        <w:t xml:space="preserve">Pearson TA, Mensah GA, Alexander RW, et al. Markers of inflammation and cardiovascular disease: application to clinical and public health practice.</w:t>
      </w:r>
      <w:r>
        <w:t xml:space="preserve"> </w:t>
      </w:r>
      <w:r>
        <w:rPr>
          <w:i/>
          <w:iCs/>
        </w:rPr>
        <w:t xml:space="preserve">Circulation</w:t>
      </w:r>
      <w:r>
        <w:t xml:space="preserve">. 2003;107(3):499-511.</w:t>
      </w:r>
    </w:p>
    <w:p>
      <w:pPr>
        <w:numPr>
          <w:ilvl w:val="0"/>
          <w:numId w:val="1002"/>
        </w:numPr>
      </w:pPr>
      <w:r>
        <w:t xml:space="preserve">Friedewald WT, Levy RI, Fredrickson DS. Estimation of the concentration of low-density lipoprotein cholesterol in plasma, without use of the preparative ultracentrifuge.</w:t>
      </w:r>
      <w:r>
        <w:t xml:space="preserve"> </w:t>
      </w:r>
      <w:r>
        <w:rPr>
          <w:i/>
          <w:iCs/>
        </w:rPr>
        <w:t xml:space="preserve">Clin Chem</w:t>
      </w:r>
      <w:r>
        <w:t xml:space="preserve">. 1972;18(6):499-502.</w:t>
      </w:r>
    </w:p>
    <w:p>
      <w:pPr>
        <w:numPr>
          <w:ilvl w:val="0"/>
          <w:numId w:val="1002"/>
        </w:numPr>
      </w:pPr>
      <w:r>
        <w:t xml:space="preserve">Rifai N, Ridker PM. High-sensitivity C-reactive protein: a novel and promising marker of coronary heart disease.</w:t>
      </w:r>
      <w:r>
        <w:t xml:space="preserve"> </w:t>
      </w:r>
      <w:r>
        <w:rPr>
          <w:i/>
          <w:iCs/>
        </w:rPr>
        <w:t xml:space="preserve">Clin Chem</w:t>
      </w:r>
      <w:r>
        <w:t xml:space="preserve">. 2001;47(3):403-411.</w:t>
      </w:r>
    </w:p>
    <w:p>
      <w:pPr>
        <w:numPr>
          <w:ilvl w:val="0"/>
          <w:numId w:val="1002"/>
        </w:numPr>
      </w:pPr>
      <w:r>
        <w:t xml:space="preserve">Ridker PM. Clinical application of C-reactive protein for cardiovascular disease detection and prevention.</w:t>
      </w:r>
      <w:r>
        <w:t xml:space="preserve"> </w:t>
      </w:r>
      <w:r>
        <w:rPr>
          <w:i/>
          <w:iCs/>
        </w:rPr>
        <w:t xml:space="preserve">Circulation</w:t>
      </w:r>
      <w:r>
        <w:t xml:space="preserve">. 2003;107(3):363-369.</w:t>
      </w:r>
    </w:p>
    <w:p>
      <w:pPr>
        <w:numPr>
          <w:ilvl w:val="0"/>
          <w:numId w:val="1002"/>
        </w:numPr>
      </w:pPr>
      <w:r>
        <w:t xml:space="preserve">American Diabetes Association Professional Practice Committee. Classification and diagnosis of diabetes: Standards of Care in Diabetes—2024.</w:t>
      </w:r>
      <w:r>
        <w:t xml:space="preserve"> </w:t>
      </w:r>
      <w:r>
        <w:rPr>
          <w:i/>
          <w:iCs/>
        </w:rPr>
        <w:t xml:space="preserve">Diabetes Care</w:t>
      </w:r>
      <w:r>
        <w:t xml:space="preserve">. 2024;47(Suppl 1):S20-S42.</w:t>
      </w:r>
    </w:p>
    <w:p>
      <w:pPr>
        <w:numPr>
          <w:ilvl w:val="0"/>
          <w:numId w:val="1002"/>
        </w:numPr>
      </w:pPr>
      <w:r>
        <w:t xml:space="preserve">Whelton PK, Carey RM, Aronow WS, et al. 2017 ACC/AHA/AAPA/ABC/ACPM/AGS/APhA/ASH/ASPC/NMA/PCNA guideline for the prevention, detection, evaluation, and management of high blood pressure in adults.</w:t>
      </w:r>
      <w:r>
        <w:t xml:space="preserve"> </w:t>
      </w:r>
      <w:r>
        <w:rPr>
          <w:i/>
          <w:iCs/>
        </w:rPr>
        <w:t xml:space="preserve">J Am Coll Cardiol</w:t>
      </w:r>
      <w:r>
        <w:t xml:space="preserve">. 2018;71(19):e127-e248.</w:t>
      </w:r>
    </w:p>
    <w:p>
      <w:pPr>
        <w:numPr>
          <w:ilvl w:val="0"/>
          <w:numId w:val="1002"/>
        </w:numPr>
      </w:pPr>
      <w:r>
        <w:t xml:space="preserve">Lumley T. Analysis of complex survey samples.</w:t>
      </w:r>
      <w:r>
        <w:t xml:space="preserve"> </w:t>
      </w:r>
      <w:r>
        <w:rPr>
          <w:i/>
          <w:iCs/>
        </w:rPr>
        <w:t xml:space="preserve">J Stat Softw</w:t>
      </w:r>
      <w:r>
        <w:t xml:space="preserve">. 2004;9(8):1-19.</w:t>
      </w:r>
    </w:p>
    <w:p>
      <w:pPr>
        <w:numPr>
          <w:ilvl w:val="0"/>
          <w:numId w:val="1002"/>
        </w:numPr>
      </w:pPr>
      <w:r>
        <w:t xml:space="preserve">Sattar N, Lee MMY, Kristensen SL, et al. Cardiovascular, mortality, and kidney outcomes with GLP-1 receptor agonists in patients with type 2 diabetes: a systematic review and meta-analysis of randomised trials.</w:t>
      </w:r>
      <w:r>
        <w:t xml:space="preserve"> </w:t>
      </w:r>
      <w:r>
        <w:rPr>
          <w:i/>
          <w:iCs/>
        </w:rPr>
        <w:t xml:space="preserve">Lancet Diabetes Endocrinol</w:t>
      </w:r>
      <w:r>
        <w:t xml:space="preserve">. 2021;9(10):653-662.</w:t>
      </w:r>
    </w:p>
    <w:p>
      <w:pPr>
        <w:numPr>
          <w:ilvl w:val="0"/>
          <w:numId w:val="1002"/>
        </w:numPr>
      </w:pPr>
      <w:r>
        <w:t xml:space="preserve">Zelniker TA, Wiviott SD, Raz I, et al. SGLT2 inhibitors for primary and secondary prevention of cardiovascular and renal outcomes in type 2 diabetes: a systematic review and meta-analysis of cardiovascular outcome trials.</w:t>
      </w:r>
      <w:r>
        <w:t xml:space="preserve"> </w:t>
      </w:r>
      <w:r>
        <w:rPr>
          <w:i/>
          <w:iCs/>
        </w:rPr>
        <w:t xml:space="preserve">Lancet</w:t>
      </w:r>
      <w:r>
        <w:t xml:space="preserve">. 2019;393(10166):31-39.</w:t>
      </w:r>
    </w:p>
    <w:p>
      <w:pPr>
        <w:numPr>
          <w:ilvl w:val="0"/>
          <w:numId w:val="1002"/>
        </w:numPr>
      </w:pPr>
      <w:r>
        <w:t xml:space="preserve">Khera A, McGuire DK, Murphy SA, et al. Race and gender differences in C-reactive protein levels.</w:t>
      </w:r>
      <w:r>
        <w:t xml:space="preserve"> </w:t>
      </w:r>
      <w:r>
        <w:rPr>
          <w:i/>
          <w:iCs/>
        </w:rPr>
        <w:t xml:space="preserve">J Am Coll Cardiol</w:t>
      </w:r>
      <w:r>
        <w:t xml:space="preserve">. 2005;46(3):464-469.</w:t>
      </w:r>
    </w:p>
    <w:p>
      <w:r>
        <w:pict>
          <v:rect style="width:0;height:1.5pt" o:hralign="center" o:hrstd="t" o:hr="t"/>
        </w:pict>
      </w:r>
    </w:p>
    <w:bookmarkEnd w:id="42"/>
    <w:bookmarkStart w:id="43" w:name="tables"/>
    <w:p>
      <w:pPr>
        <w:pStyle w:val="Heading2"/>
      </w:pPr>
      <w:r>
        <w:t xml:space="preserve">TABLES</w:t>
      </w:r>
    </w:p>
    <w:p>
      <w:pPr>
        <w:pStyle w:val="FirstParagraph"/>
      </w:pPr>
      <w:r>
        <w:rPr>
          <w:b/>
          <w:bCs/>
        </w:rPr>
        <w:t xml:space="preserve">Table 1.</w:t>
      </w:r>
      <w:r>
        <w:t xml:space="preserve"> </w:t>
      </w:r>
      <w:r>
        <w:t xml:space="preserve">Baseline Characteristics of Statin Users with LDL-C &lt;70 mg/dL by Residual Inflammatory Risk Status</w:t>
      </w:r>
    </w:p>
    <w:p>
      <w:pPr>
        <w:pStyle w:val="BodyText"/>
      </w:pPr>
      <w:r>
        <w:rPr>
          <w:b/>
          <w:bCs/>
        </w:rPr>
        <w:t xml:space="preserve">Table 2.</w:t>
      </w:r>
      <w:r>
        <w:t xml:space="preserve"> </w:t>
      </w:r>
      <w:r>
        <w:t xml:space="preserve">hs-CRP ≥2 mg/L Prevalence Across LDL-C and Statin Status Groups</w:t>
      </w:r>
      <w:r>
        <w:t xml:space="preserve"> </w:t>
      </w:r>
      <w:r>
        <w:t xml:space="preserve">- Table 2A: Main 6-group analysis</w:t>
      </w:r>
      <w:r>
        <w:t xml:space="preserve"> </w:t>
      </w:r>
      <w:r>
        <w:t xml:space="preserve">- Table 2B: Stratified by glycemic status</w:t>
      </w:r>
      <w:r>
        <w:t xml:space="preserve"> </w:t>
      </w:r>
      <w:r>
        <w:t xml:space="preserve">- Table 2C: Stratified by sex</w:t>
      </w:r>
    </w:p>
    <w:p>
      <w:pPr>
        <w:pStyle w:val="BodyText"/>
      </w:pPr>
      <w:r>
        <w:rPr>
          <w:b/>
          <w:bCs/>
        </w:rPr>
        <w:t xml:space="preserve">Table 3.</w:t>
      </w:r>
      <w:r>
        <w:t xml:space="preserve"> </w:t>
      </w:r>
      <w:r>
        <w:t xml:space="preserve">Correlates of Residual Inflammatory Risk: Survey-Weighted Logistic Regression</w:t>
      </w:r>
    </w:p>
    <w:p>
      <w:r>
        <w:pict>
          <v:rect style="width:0;height:1.5pt" o:hralign="center" o:hrstd="t" o:hr="t"/>
        </w:pict>
      </w:r>
    </w:p>
    <w:bookmarkEnd w:id="43"/>
    <w:bookmarkStart w:id="44" w:name="figures"/>
    <w:p>
      <w:pPr>
        <w:pStyle w:val="Heading2"/>
      </w:pPr>
      <w:r>
        <w:t xml:space="preserve">FIGURES</w:t>
      </w:r>
    </w:p>
    <w:p>
      <w:pPr>
        <w:pStyle w:val="FirstParagraph"/>
      </w:pPr>
      <w:r>
        <w:rPr>
          <w:b/>
          <w:bCs/>
        </w:rPr>
        <w:t xml:space="preserve">Figure 1.</w:t>
      </w:r>
      <w:r>
        <w:t xml:space="preserve"> </w:t>
      </w:r>
      <w:r>
        <w:t xml:space="preserve">hs-CRP ≥2 mg/L Prevalence by LDL-C Category and Statin Use Status</w:t>
      </w:r>
      <w:r>
        <w:t xml:space="preserve"> </w:t>
      </w:r>
      <w:r>
        <w:rPr>
          <w:i/>
          <w:iCs/>
        </w:rPr>
        <w:t xml:space="preserve">Survey-weighted prevalence estimates with 95% confidence intervals. NHANES 2005-2010, 2015-2020.</w:t>
      </w:r>
    </w:p>
    <w:p>
      <w:pPr>
        <w:pStyle w:val="BodyText"/>
      </w:pPr>
      <w:r>
        <w:rPr>
          <w:b/>
          <w:bCs/>
        </w:rPr>
        <w:t xml:space="preserve">Figure 2.</w:t>
      </w:r>
      <w:r>
        <w:t xml:space="preserve"> </w:t>
      </w:r>
      <w:r>
        <w:t xml:space="preserve">Residual Inflammatory Risk Prevalence by Glycemic Status Among Statin Users with LDL-C &lt;70 mg/dL</w:t>
      </w:r>
      <w:r>
        <w:t xml:space="preserve"> </w:t>
      </w:r>
      <w:r>
        <w:rPr>
          <w:i/>
          <w:iCs/>
        </w:rPr>
        <w:t xml:space="preserve">Note: Normal glycemia estimate has high imprecision (SE 9.3%) due to limited sample size.</w:t>
      </w:r>
    </w:p>
    <w:p>
      <w:pPr>
        <w:pStyle w:val="BodyText"/>
      </w:pPr>
      <w:r>
        <w:rPr>
          <w:b/>
          <w:bCs/>
        </w:rPr>
        <w:t xml:space="preserve">Figure 3.</w:t>
      </w:r>
      <w:r>
        <w:t xml:space="preserve"> </w:t>
      </w:r>
      <w:r>
        <w:t xml:space="preserve">hs-CRP ≥2 mg/L Prevalence by Sex Across LDL×Statin Groups</w:t>
      </w:r>
      <w:r>
        <w:t xml:space="preserve"> </w:t>
      </w:r>
      <w:r>
        <w:rPr>
          <w:i/>
          <w:iCs/>
        </w:rPr>
        <w:t xml:space="preserve">Women showed higher inflammatory burden than men in most subgroups, particularly among non-statin users.</w:t>
      </w:r>
    </w:p>
    <w:p>
      <w:r>
        <w:pict>
          <v:rect style="width:0;height:1.5pt" o:hralign="center" o:hrstd="t" o:hr="t"/>
        </w:pict>
      </w:r>
    </w:p>
    <w:bookmarkEnd w:id="44"/>
    <w:bookmarkStart w:id="45" w:name="supplemental-materials"/>
    <w:p>
      <w:pPr>
        <w:pStyle w:val="Heading2"/>
      </w:pPr>
      <w:r>
        <w:t xml:space="preserve">SUPPLEMENTAL MATERIALS</w:t>
      </w:r>
    </w:p>
    <w:p>
      <w:pPr>
        <w:pStyle w:val="FirstParagraph"/>
      </w:pPr>
      <w:r>
        <w:rPr>
          <w:b/>
          <w:bCs/>
        </w:rPr>
        <w:t xml:space="preserve">Figure S1.</w:t>
      </w:r>
      <w:r>
        <w:t xml:space="preserve"> </w:t>
      </w:r>
      <w:r>
        <w:t xml:space="preserve">Patient Flow Diagram</w:t>
      </w:r>
    </w:p>
    <w:p>
      <w:pPr>
        <w:pStyle w:val="BodyText"/>
      </w:pPr>
      <w:r>
        <w:rPr>
          <w:b/>
          <w:bCs/>
        </w:rPr>
        <w:t xml:space="preserve">Supplemental Table 1.</w:t>
      </w:r>
      <w:r>
        <w:t xml:space="preserve"> </w:t>
      </w:r>
      <w:r>
        <w:t xml:space="preserve">Sample Sizes by NHANES Cycle and Missing Data Proportions</w:t>
      </w:r>
    </w:p>
    <w:p>
      <w:pPr>
        <w:pStyle w:val="BodyText"/>
      </w:pPr>
      <w:r>
        <w:rPr>
          <w:b/>
          <w:bCs/>
        </w:rPr>
        <w:t xml:space="preserve">Supplemental Table 2.</w:t>
      </w:r>
      <w:r>
        <w:t xml:space="preserve"> </w:t>
      </w:r>
      <w:r>
        <w:t xml:space="preserve">Sensitivity Analyses: RIR Prevalence Across hs-CRP and LDL-C Thresholds</w:t>
      </w:r>
    </w:p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2025-12-26T20:31:46Z</dcterms:created>
  <dcterms:modified xsi:type="dcterms:W3CDTF">2025-12-26T20:31:46Z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