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OPERATING AGREEMENT</w:t>
      </w:r>
    </w:p>
    <w:p>
      <w:pPr>
        <w:pStyle w:val="Heading1"/>
        <w:jc w:val="center"/>
      </w:pPr>
      <w:r>
        <w:t>KUDZU ARTS, LLC</w:t>
      </w:r>
    </w:p>
    <w:p>
      <w:pPr>
        <w:pStyle w:val="Heading2"/>
        <w:jc w:val="center"/>
      </w:pPr>
      <w:r>
        <w:t>A Tennessee Limited Liability Company</w:t>
      </w:r>
    </w:p>
    <w:p/>
    <w:p>
      <w:r>
        <w:t>This Operating Agreement ("Agreement") is entered into as of ________________, 2024, by and among the Members listed below, for the purpose of forming and governing Kudzu Arts, LLC, a Tennessee Limited Liability Company (the "Company"), pursuant to the Tennessee Revised Limited Liability Company Act (T.C.A. § 48-249-101, et seq.).</w:t>
      </w:r>
    </w:p>
    <w:p>
      <w:pPr>
        <w:pStyle w:val="Heading1"/>
      </w:pPr>
      <w:r>
        <w:t>ARTICLE I – FORMATION</w:t>
      </w:r>
    </w:p>
    <w:p>
      <w:r>
        <w:rPr>
          <w:b/>
        </w:rPr>
        <w:t xml:space="preserve">1.1 Name. </w:t>
      </w:r>
      <w:r>
        <w:t>The name of the Company is Kudzu Arts, LLC.</w:t>
      </w:r>
    </w:p>
    <w:p>
      <w:r>
        <w:rPr>
          <w:b/>
        </w:rPr>
        <w:t xml:space="preserve">1.2 Principal Office. </w:t>
      </w:r>
      <w:r>
        <w:t>The principal office of the Company is located at 1404 Gale Lane, Nashville, Tennessee 37212.</w:t>
      </w:r>
    </w:p>
    <w:p>
      <w:r>
        <w:rPr>
          <w:b/>
        </w:rPr>
        <w:t xml:space="preserve">1.3 Registered Agent. </w:t>
      </w:r>
      <w:r>
        <w:t>The registered agent and registered office of the Company shall be as designated in the Articles of Organization, as may be amended from time to time.</w:t>
      </w:r>
    </w:p>
    <w:p>
      <w:r>
        <w:rPr>
          <w:b/>
        </w:rPr>
        <w:t xml:space="preserve">1.4 Purpose. </w:t>
      </w:r>
      <w:r>
        <w:t>The purpose of the Company is to engage in art consulting, curation, design, cultural strategy, and all lawful business activities incidental thereto. The Company also supports and is affiliated with The Vine, its non-profit programming arm.</w:t>
      </w:r>
    </w:p>
    <w:p>
      <w:r>
        <w:rPr>
          <w:b/>
        </w:rPr>
        <w:t xml:space="preserve">1.5 Term. </w:t>
      </w:r>
      <w:r>
        <w:t>The Company shall have a perpetual existence unless dissolved in accordance with this Agreement or applicable law.</w:t>
      </w:r>
    </w:p>
    <w:p>
      <w:r>
        <w:rPr>
          <w:b/>
        </w:rPr>
        <w:t xml:space="preserve">1.6 Fiscal Year. </w:t>
      </w:r>
      <w:r>
        <w:t>The fiscal year of the Company shall end on December 31 of each year.</w:t>
      </w:r>
    </w:p>
    <w:p>
      <w:pPr>
        <w:pStyle w:val="Heading1"/>
      </w:pPr>
      <w:r>
        <w:t>ARTICLE II – MEMBERS</w:t>
      </w:r>
    </w:p>
    <w:p>
      <w:r>
        <w:rPr>
          <w:b/>
        </w:rPr>
        <w:t>2.1 Members.</w:t>
      </w:r>
      <w:r>
        <w:t xml:space="preserve"> The initial Members of the Company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Member Name</w:t>
            </w:r>
          </w:p>
        </w:tc>
        <w:tc>
          <w:tcPr>
            <w:tcW w:type="dxa" w:w="2880"/>
          </w:tcPr>
          <w:p>
            <w:r>
              <w:rPr>
                <w:b/>
              </w:rPr>
              <w:t>Address</w:t>
            </w:r>
          </w:p>
        </w:tc>
        <w:tc>
          <w:tcPr>
            <w:tcW w:type="dxa" w:w="2880"/>
          </w:tcPr>
          <w:p>
            <w:r>
              <w:rPr>
                <w:b/>
              </w:rPr>
              <w:t>Ownership Interest</w:t>
            </w:r>
          </w:p>
        </w:tc>
      </w:tr>
      <w:tr>
        <w:tc>
          <w:tcPr>
            <w:tcW w:type="dxa" w:w="2880"/>
          </w:tcPr>
          <w:p>
            <w:r>
              <w:t>Andrew Bubis</w:t>
            </w:r>
          </w:p>
        </w:tc>
        <w:tc>
          <w:tcPr>
            <w:tcW w:type="dxa" w:w="2880"/>
          </w:tcPr>
          <w:p>
            <w:r>
              <w:t>1404 Gale Lane, Nashville, TN 37212</w:t>
            </w:r>
          </w:p>
        </w:tc>
        <w:tc>
          <w:tcPr>
            <w:tcW w:type="dxa" w:w="2880"/>
          </w:tcPr>
          <w:p>
            <w:r>
              <w:t>50%</w:t>
            </w:r>
          </w:p>
        </w:tc>
      </w:tr>
      <w:tr>
        <w:tc>
          <w:tcPr>
            <w:tcW w:type="dxa" w:w="2880"/>
          </w:tcPr>
          <w:p>
            <w:r>
              <w:t>Ian Cato</w:t>
            </w:r>
          </w:p>
        </w:tc>
        <w:tc>
          <w:tcPr>
            <w:tcW w:type="dxa" w:w="2880"/>
          </w:tcPr>
          <w:p>
            <w:r>
              <w:t>[Ian Cato's address — TO BE PROVIDED]</w:t>
            </w:r>
          </w:p>
        </w:tc>
        <w:tc>
          <w:tcPr>
            <w:tcW w:type="dxa" w:w="2880"/>
          </w:tcPr>
          <w:p>
            <w:r>
              <w:t>50%</w:t>
            </w:r>
          </w:p>
        </w:tc>
      </w:tr>
    </w:tbl>
    <w:p/>
    <w:p>
      <w:r>
        <w:rPr>
          <w:b/>
        </w:rPr>
        <w:t xml:space="preserve">2.2 Membership Interests. </w:t>
      </w:r>
      <w:r>
        <w:t>Total membership interests in the Company shall equal 100%. Each Member's percentage interest shall be as set forth above and may be amended by unanimous written consent of all Members.</w:t>
      </w:r>
    </w:p>
    <w:p>
      <w:r>
        <w:rPr>
          <w:b/>
        </w:rPr>
        <w:t xml:space="preserve">2.3 Additional Members. </w:t>
      </w:r>
      <w:r>
        <w:t>New Members may be admitted only upon unanimous written consent of all existing Members.</w:t>
      </w:r>
    </w:p>
    <w:p>
      <w:pPr>
        <w:pStyle w:val="Heading1"/>
      </w:pPr>
      <w:r>
        <w:t>ARTICLE III – MANAGEMENT</w:t>
      </w:r>
    </w:p>
    <w:p>
      <w:r>
        <w:rPr>
          <w:b/>
        </w:rPr>
        <w:t xml:space="preserve">3.1 Member-Managed. </w:t>
      </w:r>
      <w:r>
        <w:t>The Company shall be Member-Managed. All Members shall have equal rights in the management and conduct of the Company's business, except as otherwise agreed in writing.</w:t>
      </w:r>
    </w:p>
    <w:p>
      <w:r>
        <w:rPr>
          <w:b/>
        </w:rPr>
        <w:t xml:space="preserve">3.2 Voting. </w:t>
      </w:r>
      <w:r>
        <w:t>Except where this Agreement requires unanimous consent, decisions shall be made by a majority vote of Members based on membership interest percentages.</w:t>
      </w:r>
    </w:p>
    <w:p>
      <w:r>
        <w:rPr>
          <w:b/>
        </w:rPr>
        <w:t xml:space="preserve">3.3 Actions Requiring Unanimous Consent. </w:t>
      </w:r>
      <w:r>
        <w:t>The following actions require the unanimous written consent of all Members: (a) amendment of this Agreement or the Articles of Organization; (b) admission of new Members; (c) sale, lease, or transfer of all or substantially all Company assets; (d) merger, consolidation, or dissolution of the Company; (e) any action outside the ordinary course of business.</w:t>
      </w:r>
    </w:p>
    <w:p>
      <w:pPr>
        <w:pStyle w:val="Heading1"/>
      </w:pPr>
      <w:r>
        <w:t>ARTICLE IV – CAPITAL CONTRIBUTIONS</w:t>
      </w:r>
    </w:p>
    <w:p>
      <w:r>
        <w:rPr>
          <w:b/>
        </w:rPr>
        <w:t xml:space="preserve">4.1 Initial Contributions. </w:t>
      </w:r>
      <w:r>
        <w:t>Each Member's initial capital contribution shall be as agreed by the Members and recorded in the Company's books. Initial contributions are set forth below:</w:t>
      </w:r>
    </w:p>
    <w:tbl>
      <w:tblPr>
        <w:tblStyle w:val="TableGrid"/>
        <w:tblW w:type="auto" w:w="0"/>
        <w:tblLook w:firstColumn="1" w:firstRow="1" w:lastColumn="0" w:lastRow="0" w:noHBand="0" w:noVBand="1" w:val="04A0"/>
      </w:tblPr>
      <w:tblGrid>
        <w:gridCol w:w="4320"/>
        <w:gridCol w:w="4320"/>
      </w:tblGrid>
      <w:tr>
        <w:tc>
          <w:tcPr>
            <w:tcW w:type="dxa" w:w="4320"/>
          </w:tcPr>
          <w:p>
            <w:r>
              <w:rPr>
                <w:b/>
              </w:rPr>
              <w:t>Member</w:t>
            </w:r>
          </w:p>
        </w:tc>
        <w:tc>
          <w:tcPr>
            <w:tcW w:type="dxa" w:w="4320"/>
          </w:tcPr>
          <w:p>
            <w:r>
              <w:rPr>
                <w:b/>
              </w:rPr>
              <w:t>Capital Contribution</w:t>
            </w:r>
          </w:p>
        </w:tc>
      </w:tr>
      <w:tr>
        <w:tc>
          <w:tcPr>
            <w:tcW w:type="dxa" w:w="4320"/>
          </w:tcPr>
          <w:p>
            <w:r>
              <w:t>Andrew Bubis</w:t>
            </w:r>
          </w:p>
        </w:tc>
        <w:tc>
          <w:tcPr>
            <w:tcW w:type="dxa" w:w="4320"/>
          </w:tcPr>
          <w:p>
            <w:r>
              <w:t>$____________</w:t>
            </w:r>
          </w:p>
        </w:tc>
      </w:tr>
      <w:tr>
        <w:tc>
          <w:tcPr>
            <w:tcW w:type="dxa" w:w="4320"/>
          </w:tcPr>
          <w:p>
            <w:r>
              <w:t>Ian Cato</w:t>
            </w:r>
          </w:p>
        </w:tc>
        <w:tc>
          <w:tcPr>
            <w:tcW w:type="dxa" w:w="4320"/>
          </w:tcPr>
          <w:p>
            <w:r>
              <w:t>$____________</w:t>
            </w:r>
          </w:p>
        </w:tc>
      </w:tr>
    </w:tbl>
    <w:p/>
    <w:p>
      <w:r>
        <w:rPr>
          <w:b/>
        </w:rPr>
        <w:t>4.2 Additional Contributions.</w:t>
      </w:r>
      <w:r>
        <w:t xml:space="preserve"> No Member shall be required to make additional capital contributions without such Member's written consent.</w:t>
      </w:r>
    </w:p>
    <w:p>
      <w:pPr>
        <w:pStyle w:val="Heading1"/>
      </w:pPr>
      <w:r>
        <w:t>ARTICLE V – PROFITS, LOSSES, AND DISTRIBUTIONS</w:t>
      </w:r>
    </w:p>
    <w:p>
      <w:r>
        <w:rPr>
          <w:b/>
        </w:rPr>
        <w:t xml:space="preserve">5.1 Allocations. </w:t>
      </w:r>
      <w:r>
        <w:t>Profits and losses of the Company shall be allocated among the Members in proportion to their respective membership interest percentages, unless otherwise agreed in writing.</w:t>
      </w:r>
    </w:p>
    <w:p>
      <w:r>
        <w:rPr>
          <w:b/>
        </w:rPr>
        <w:t xml:space="preserve">5.2 Distributions. </w:t>
      </w:r>
      <w:r>
        <w:t>Distributions shall be made to Members at such times and in such amounts as determined by unanimous consent of the Members, subject to applicable law and the Company's financial obligations.</w:t>
      </w:r>
    </w:p>
    <w:p>
      <w:r>
        <w:rPr>
          <w:b/>
        </w:rPr>
        <w:t xml:space="preserve">5.3 Tax Characterization. </w:t>
      </w:r>
      <w:r>
        <w:t>The Company shall be taxed as a partnership for federal and state income tax purposes unless the Members elect otherwise.</w:t>
      </w:r>
    </w:p>
    <w:p>
      <w:pPr>
        <w:pStyle w:val="Heading1"/>
      </w:pPr>
      <w:r>
        <w:t>ARTICLE VI – BOOKS, RECORDS, AND BANKING</w:t>
      </w:r>
    </w:p>
    <w:p>
      <w:r>
        <w:rPr>
          <w:b/>
        </w:rPr>
        <w:t xml:space="preserve">6.1 Books and Records. </w:t>
      </w:r>
      <w:r>
        <w:t>The Company shall maintain complete and accurate books and records of its financial affairs. Each Member shall have access to such records upon reasonable notice.</w:t>
      </w:r>
    </w:p>
    <w:p>
      <w:r>
        <w:rPr>
          <w:b/>
        </w:rPr>
        <w:t xml:space="preserve">6.2 Bank Accounts. </w:t>
      </w:r>
      <w:r>
        <w:t>The Company shall maintain one or more bank accounts in the name of the Company. Withdrawals shall require the signature of [either Member].</w:t>
      </w:r>
    </w:p>
    <w:p>
      <w:pPr>
        <w:pStyle w:val="Heading1"/>
      </w:pPr>
      <w:r>
        <w:t>ARTICLE VII – TRANSFER OF MEMBERSHIP INTERESTS</w:t>
      </w:r>
    </w:p>
    <w:p>
      <w:r>
        <w:rPr>
          <w:b/>
        </w:rPr>
        <w:t xml:space="preserve">7.1 Restrictions on Transfer. </w:t>
      </w:r>
      <w:r>
        <w:t>No Member may sell, assign, transfer, pledge, or otherwise dispose of any membership interest without the prior written consent of all other Members.</w:t>
      </w:r>
    </w:p>
    <w:p>
      <w:r>
        <w:rPr>
          <w:b/>
        </w:rPr>
        <w:t xml:space="preserve">7.2 Right of First Refusal. </w:t>
      </w:r>
      <w:r>
        <w:t>Before any Member may transfer an interest to a third party, the other Members shall have the right to purchase the interest at the same price and terms offered to the third party.</w:t>
      </w:r>
    </w:p>
    <w:p>
      <w:pPr>
        <w:pStyle w:val="Heading1"/>
      </w:pPr>
      <w:r>
        <w:t>ARTICLE VIII – DISSOLUTION</w:t>
      </w:r>
    </w:p>
    <w:p>
      <w:r>
        <w:rPr>
          <w:b/>
        </w:rPr>
        <w:t xml:space="preserve">8.1 Events of Dissolution. </w:t>
      </w:r>
      <w:r>
        <w:t>The Company shall be dissolved upon: (a) the unanimous written agreement of all Members to dissolve; (b) a judicial decree of dissolution; or (c) any other event requiring dissolution under Tennessee law.</w:t>
      </w:r>
    </w:p>
    <w:p>
      <w:r>
        <w:rPr>
          <w:b/>
        </w:rPr>
        <w:t xml:space="preserve">8.2 Winding Up. </w:t>
      </w:r>
      <w:r>
        <w:t>Upon dissolution, the Company's affairs shall be wound up, debts paid, and remaining assets distributed to Members in proportion to their membership interests.</w:t>
      </w:r>
    </w:p>
    <w:p>
      <w:pPr>
        <w:pStyle w:val="Heading1"/>
      </w:pPr>
      <w:r>
        <w:t>ARTICLE IX – MISCELLANEOUS</w:t>
      </w:r>
    </w:p>
    <w:p>
      <w:r>
        <w:rPr>
          <w:b/>
        </w:rPr>
        <w:t xml:space="preserve">9.1 Governing Law. </w:t>
      </w:r>
      <w:r>
        <w:t>This Agreement shall be governed by the laws of the State of Tennessee.</w:t>
      </w:r>
    </w:p>
    <w:p>
      <w:r>
        <w:rPr>
          <w:b/>
        </w:rPr>
        <w:t xml:space="preserve">9.2 Entire Agreement. </w:t>
      </w:r>
      <w:r>
        <w:t>This Agreement constitutes the entire agreement among the Members with respect to the subject matter hereof.</w:t>
      </w:r>
    </w:p>
    <w:p>
      <w:r>
        <w:rPr>
          <w:b/>
        </w:rPr>
        <w:t xml:space="preserve">9.3 Amendments. </w:t>
      </w:r>
      <w:r>
        <w:t>This Agreement may only be amended by unanimous written consent of all Members.</w:t>
      </w:r>
    </w:p>
    <w:p>
      <w:r>
        <w:rPr>
          <w:b/>
        </w:rPr>
        <w:t xml:space="preserve">9.4 Severability. </w:t>
      </w:r>
      <w:r>
        <w:t>If any provision of this Agreement is held invalid or unenforceable, the remaining provisions shall continue in full force and effect.</w:t>
      </w:r>
    </w:p>
    <w:p>
      <w:r>
        <w:rPr>
          <w:b/>
        </w:rPr>
        <w:t xml:space="preserve">9.5 Counterparts. </w:t>
      </w:r>
      <w:r>
        <w:t>This Agreement may be executed in counterparts, each of which shall be deemed an original.</w:t>
      </w:r>
    </w:p>
    <w:p>
      <w:pPr>
        <w:pStyle w:val="Heading1"/>
      </w:pPr>
      <w:r>
        <w:t>SIGNATURES</w:t>
      </w:r>
    </w:p>
    <w:p>
      <w:r>
        <w:t>IN WITNESS WHEREOF, the undersigned Members have executed this Operating Agreement as of the date first written above.</w:t>
      </w:r>
    </w:p>
    <w:p/>
    <w:p>
      <w:r>
        <w:t>_________________________________</w:t>
      </w:r>
    </w:p>
    <w:p>
      <w:r>
        <w:t>Andrew Bubis, Member</w:t>
      </w:r>
    </w:p>
    <w:p>
      <w:r>
        <w:t>Date: ___________________________</w:t>
      </w:r>
    </w:p>
    <w:p/>
    <w:p>
      <w:r>
        <w:t>_________________________________</w:t>
      </w:r>
    </w:p>
    <w:p>
      <w:r>
        <w:t>Ian Cato, Member</w:t>
      </w:r>
    </w:p>
    <w:p>
      <w:r>
        <w:t>Date: 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