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Evidence Table </w:t>
      </w:r>
      <w:r>
        <w:rPr/>
        <w:t>Column Guide rna-viral-screen v0.1.0</w:t>
      </w:r>
    </w:p>
    <w:p>
      <w:pPr>
        <w:pStyle w:val="Heading2"/>
        <w:rPr/>
      </w:pPr>
      <w:r>
        <w:rPr/>
        <w:t>Contig (3)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6"/>
        <w:gridCol w:w="4304"/>
        <w:gridCol w:w="2880"/>
      </w:tblGrid>
      <w:tr>
        <w:trPr/>
        <w:tc>
          <w:tcPr>
            <w:tcW w:w="145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430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What it means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14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contig</w:t>
            </w:r>
          </w:p>
        </w:tc>
        <w:tc>
          <w:tcPr>
            <w:tcW w:w="43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Assembled contig name; encodes sample, ID, length and k-mer coverage.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&lt;sample&gt;_&lt;id&gt;_length_&lt;len&gt;_cov_&lt;cov&gt;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contig_length</w:t>
            </w:r>
          </w:p>
        </w:tc>
        <w:tc>
          <w:tcPr>
            <w:tcW w:w="4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Contig length in nucleotides.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2770</w:t>
            </w:r>
          </w:p>
        </w:tc>
      </w:tr>
      <w:tr>
        <w:trPr/>
        <w:tc>
          <w:tcPr>
            <w:tcW w:w="14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contig_cov</w:t>
            </w:r>
          </w:p>
        </w:tc>
        <w:tc>
          <w:tcPr>
            <w:tcW w:w="43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Assembler k-mer coverage (assembly depth proxy).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1934.4</w:t>
            </w:r>
          </w:p>
        </w:tc>
      </w:tr>
    </w:tbl>
    <w:p>
      <w:pPr>
        <w:pStyle w:val="Heading2"/>
        <w:rPr/>
      </w:pPr>
      <w:r>
        <w:rPr/>
        <w:t>geNomad — homology-free viral call (9)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What it means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genomad_topology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Provirus topology call (e.g. No terminal repeats).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terminal repeats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genomad_coordinates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Provirus coordinates if a provirus region called, else NA.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genomad_n_genes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Number of predicted genes on the contig.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genomad_genetic_code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Genetic code used for gene prediction.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genomad_virus_score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geNomad virus score, 0–1; higher = more viral.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0.9993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genomad_fdr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False-discovery rate estimate for the call; lower = more confident.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0.0006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genomad_n_hallmarks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Count of viral hallmark markers found.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genomad_marker_enrichment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Viral marker enrichment score.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1.7183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genomad_taxonomy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geNomad taxonomic assignment, semicolon-delimited ranks.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…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Mitoviridae…</w:t>
            </w:r>
          </w:p>
        </w:tc>
      </w:tr>
    </w:tbl>
    <w:p>
      <w:pPr>
        <w:pStyle w:val="Heading2"/>
        <w:rPr/>
      </w:pPr>
      <w:r>
        <w:rPr/>
        <w:t>RVDB — DIAMOND blastx vs U-RVDB-prot, up to 5 hits per contig (19)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5"/>
        <w:gridCol w:w="3415"/>
        <w:gridCol w:w="2880"/>
      </w:tblGrid>
      <w:tr>
        <w:trPr/>
        <w:tc>
          <w:tcPr>
            <w:tcW w:w="23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341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What it means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rvdb_sseqid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Raw DIAMOND subject ID (full pipe string); provenance / join key.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acc|GENBANK|UJQ92534.1|…|putative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rvdb_protein_acc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Protein accession parsed from sseqid / taxmap.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UJQ92534.1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rvdb_nt_acc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Source nucleotide accession.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MZ679949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rvdb_product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Protein product; taxmap text is fuller than the sseqid tail.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putative RNA-dependent RNA polymerase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rvdb_pident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Percent identity of the alignment.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40.7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rvdb_aln_len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Alignment length in amino acids.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734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rvdb_mismatch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Mismatches in the alignment.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410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rvdb_gapopen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Gap openings in the alignment.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rvdb_qstart / rvdb_qend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Hit coordinates on contig (translated frame); start&gt;end = minus strand.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2462 / 273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rvdb_sstart / rvdb_send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Hit coordinates on the subject protein.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 / 726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rvdb_evalue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 value; smaller = more significant.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6.92e-171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rvdb_bitscore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Bit score; larger = better hit.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524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rvdb_qlen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Query (contig) length in nt.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2770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rvdb_slen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Subject protein length in aa.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754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rvdb_qcovhsp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% of contig covered by the hit (HSP).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79.1</w:t>
            </w:r>
          </w:p>
        </w:tc>
      </w:tr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rvdb_scovhsp</w:t>
            </w:r>
          </w:p>
        </w:tc>
        <w:tc>
          <w:tcPr>
            <w:tcW w:w="3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% of subject protein covered by the hit.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94.6</w:t>
            </w:r>
          </w:p>
        </w:tc>
      </w:tr>
      <w:tr>
        <w:trPr/>
        <w:tc>
          <w:tcPr>
            <w:tcW w:w="23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rvdb_organism</w:t>
            </w:r>
          </w:p>
        </w:tc>
        <w:tc>
          <w:tcPr>
            <w:tcW w:w="341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Subject organism from RVDB taxmap (no taxid/lineage available).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Mitoviridae sp.</w:t>
            </w:r>
          </w:p>
        </w:tc>
      </w:tr>
    </w:tbl>
    <w:p>
      <w:pPr>
        <w:pStyle w:val="Heading2"/>
        <w:rPr/>
      </w:pPr>
      <w:r>
        <w:rPr/>
        <w:t>UniRef90 — DIAMOND blastx, best hit only (19)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What it means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uniref90_sseqid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UniRef90 cluster ID of best hit.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UniRef90_A0ABM9WIR1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uniref90_pident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Percent identity.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37.3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uniref90_aln_len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Alignment length in aa.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742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uniref90_mismatch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Mismatches.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436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uniref90_gapopen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Gap openings.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uniref90_qstart / uniref90_qend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Hit coordinates on contig; start&gt;end = minus strand.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2435 / 273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uniref90_sstart / uniref90_send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Hit coordinates on subject.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 / 740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uniref90_evalue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 value.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6.35e-144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uniref90_bitscore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Bit score.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455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uniref90_qlen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Query (contig) length in nt.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2770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uniref90_slen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Subject length in aa.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782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uniref90_qcovhsp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% of contig covered.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78.1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uniref90_scovhsp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% of subject covered.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93.9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uniref90_taxid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NCBI taxid of the UniRef90 entry.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2080459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uniref90_organism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Organism of best hit — host (e.g. Populus) vs virus sorts true/false positives.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Dahlia pinnata mitovirus 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uniref90_repid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Representative member ID of the cluster.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A0ABM9WIR1_9VIRU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uniref90_description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Protein description.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RNA-dependent RNA polymerase</w:t>
            </w:r>
          </w:p>
        </w:tc>
      </w:tr>
    </w:tbl>
    <w:p>
      <w:pPr>
        <w:pStyle w:val="Heading2"/>
        <w:rPr/>
      </w:pPr>
      <w:r>
        <w:rPr/>
        <w:t>Bowtie2 — read map-back support (6)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5"/>
        <w:gridCol w:w="4049"/>
        <w:gridCol w:w="2596"/>
      </w:tblGrid>
      <w:tr>
        <w:trPr/>
        <w:tc>
          <w:tcPr>
            <w:tcW w:w="199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404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What it means</w:t>
            </w:r>
          </w:p>
        </w:tc>
        <w:tc>
          <w:tcPr>
            <w:tcW w:w="259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Example</w:t>
            </w:r>
          </w:p>
        </w:tc>
      </w:tr>
      <w:tr>
        <w:trPr>
          <w:trHeight w:val="377" w:hRule="atLeast"/>
        </w:trPr>
        <w:tc>
          <w:tcPr>
            <w:tcW w:w="199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bowtie2_numreads</w:t>
            </w:r>
          </w:p>
        </w:tc>
        <w:tc>
          <w:tcPr>
            <w:tcW w:w="4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Reads mapped back to the contig.</w:t>
            </w:r>
          </w:p>
        </w:tc>
        <w:tc>
          <w:tcPr>
            <w:tcW w:w="259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95304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bowtie2_covbases</w:t>
            </w:r>
          </w:p>
        </w:tc>
        <w:tc>
          <w:tcPr>
            <w:tcW w:w="4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Contig bases covered by ≥1 read.</w:t>
            </w:r>
          </w:p>
        </w:tc>
        <w:tc>
          <w:tcPr>
            <w:tcW w:w="2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2770</w:t>
            </w:r>
          </w:p>
        </w:tc>
      </w:tr>
      <w:tr>
        <w:trPr/>
        <w:tc>
          <w:tcPr>
            <w:tcW w:w="199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bowtie2_coverage</w:t>
            </w:r>
          </w:p>
        </w:tc>
        <w:tc>
          <w:tcPr>
            <w:tcW w:w="4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Breadth of coverage in %; 100 = fully covered.</w:t>
            </w:r>
          </w:p>
        </w:tc>
        <w:tc>
          <w:tcPr>
            <w:tcW w:w="259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bowtie2_meandepth</w:t>
            </w:r>
          </w:p>
        </w:tc>
        <w:tc>
          <w:tcPr>
            <w:tcW w:w="4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Mean read depth across the contig.</w:t>
            </w:r>
          </w:p>
        </w:tc>
        <w:tc>
          <w:tcPr>
            <w:tcW w:w="2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4645.14</w:t>
            </w:r>
          </w:p>
        </w:tc>
      </w:tr>
      <w:tr>
        <w:trPr/>
        <w:tc>
          <w:tcPr>
            <w:tcW w:w="199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bowtie2_meanbaseq</w:t>
            </w:r>
          </w:p>
        </w:tc>
        <w:tc>
          <w:tcPr>
            <w:tcW w:w="4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Mean base quality of mapped reads.</w:t>
            </w:r>
          </w:p>
        </w:tc>
        <w:tc>
          <w:tcPr>
            <w:tcW w:w="259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38.9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Cs w:val="22"/>
                <w:lang w:val="en-US" w:eastAsia="en-US" w:bidi="ar-SA"/>
              </w:rPr>
              <w:t>bowtie2_meanmapq</w:t>
            </w:r>
          </w:p>
        </w:tc>
        <w:tc>
          <w:tcPr>
            <w:tcW w:w="4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Mean mapping quality.</w:t>
            </w:r>
          </w:p>
        </w:tc>
        <w:tc>
          <w:tcPr>
            <w:tcW w:w="2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41.8</w:t>
            </w:r>
          </w:p>
        </w:tc>
      </w:tr>
    </w:tbl>
    <w:p>
      <w:pPr>
        <w:pStyle w:val="Heading2"/>
        <w:rPr/>
      </w:pPr>
      <w:r>
        <w:rPr/>
        <w:t>Notes</w:t>
      </w:r>
    </w:p>
    <w:p>
      <w:pPr>
        <w:pStyle w:val="ListBullet"/>
        <w:numPr>
          <w:ilvl w:val="0"/>
          <w:numId w:val="1"/>
        </w:numPr>
        <w:rPr/>
      </w:pPr>
      <w:r>
        <w:rPr/>
        <w:t>RVDB protein_acc / nt_acc are pipe-fields of rvdb_sseqid; product and organism come only from the header taxmap.</w:t>
      </w:r>
    </w:p>
    <w:p>
      <w:pPr>
        <w:pStyle w:val="ListBullet"/>
        <w:numPr>
          <w:ilvl w:val="0"/>
          <w:numId w:val="1"/>
        </w:numPr>
        <w:rPr/>
      </w:pPr>
      <w:r>
        <w:rPr/>
        <w:t>UniRef90 keeps the single best hit per contig; RVDB keeps up to 5 hits meeting the query-cover threshold.</w:t>
      </w:r>
    </w:p>
    <w:p>
      <w:pPr>
        <w:pStyle w:val="ListBullet"/>
        <w:numPr>
          <w:ilvl w:val="0"/>
          <w:numId w:val="1"/>
        </w:numPr>
        <w:rPr/>
      </w:pPr>
      <w:r>
        <w:rPr/>
        <w:t>qcovhsp = fraction of contig matched; slen vs aln_len shows whether the contig spans the whole subject.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A high geNomad score with Unclassified taxonomy and a host UniRef90 best hit (e.g. ~98% identity to the host plant) is typically a host false positive.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581</Words>
  <Characters>3633</Characters>
  <CharactersWithSpaces>4032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2026-09-15T13:05:13Z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