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spacing w:after="120"/>
      </w:pPr>
      <w:r>
        <w:t>KNOMO</w:t>
      </w:r>
    </w:p>
    <w:p>
      <w:pPr>
        <w:pStyle w:val="Title"/>
        <w:spacing w:after="120"/>
      </w:pPr>
      <w:r>
        <w:t>Website Project Summary</w:t>
      </w:r>
    </w:p>
    <w:p>
      <w:pPr>
        <w:spacing w:after="120"/>
      </w:pPr>
      <w:r>
        <w:rPr>
          <w:i/>
        </w:rPr>
        <w:t>A syllabus-aware social learning platform for university students</w:t>
      </w:r>
    </w:p>
    <w:p>
      <w:pPr>
        <w:spacing w:after="120"/>
      </w:pPr>
      <w:r>
        <w:t>KNOMO turns educational content into short-form reels, memes, peer interaction and AI-powered study support, helping students learn inside the format they already use every day.</w:t>
      </w:r>
    </w:p>
    <w:p>
      <w:pPr>
        <w:spacing w:after="120"/>
      </w:pPr>
      <w:r>
        <w:t>This brief summarizes the website’s purpose, users, experience, social functionality, Baymax assistant, technology foundation, production needs and roadmap.</w:t>
      </w:r>
    </w:p>
    <w:p>
      <w:pPr>
        <w:pStyle w:val="Heading1"/>
        <w:spacing w:after="120"/>
      </w:pPr>
      <w:r>
        <w:t>1. Product vision</w:t>
      </w:r>
    </w:p>
    <w:p>
      <w:pPr>
        <w:spacing w:after="120"/>
      </w:pPr>
      <w:r>
        <w:t>KNOMO is designed around “Learn more. Scroll less.” It combines the familiarity of social media with university syllabus structure, so students can discover, discuss and track educational content in one place.</w:t>
      </w:r>
    </w:p>
    <w:p>
      <w:pPr>
        <w:pStyle w:val="Heading1"/>
        <w:spacing w:after="120"/>
      </w:pPr>
      <w:r>
        <w:t>2. Who KNOMO serves</w:t>
      </w:r>
    </w:p>
    <w:tbl>
      <w:tblPr>
        <w:tblStyle w:val="TableGrid"/>
        <w:tblW w:type="auto" w:w="0"/>
        <w:tblLook w:firstColumn="1" w:firstRow="1" w:lastColumn="0" w:lastRow="0" w:noHBand="0" w:noVBand="1" w:val="04A0"/>
      </w:tblPr>
      <w:tblGrid>
        <w:gridCol w:w="4824"/>
        <w:gridCol w:w="4824"/>
      </w:tblGrid>
      <w:tr>
        <w:tc>
          <w:tcPr>
            <w:tcW w:type="dxa" w:w="4824"/>
            <w:shd w:fill="44576D"/>
          </w:tcPr>
          <w:p>
            <w:r>
              <w:rPr>
                <w:b/>
                <w:color w:val="FFFFFF"/>
              </w:rPr>
              <w:t>Audience</w:t>
            </w:r>
          </w:p>
        </w:tc>
        <w:tc>
          <w:tcPr>
            <w:tcW w:type="dxa" w:w="4824"/>
            <w:shd w:fill="44576D"/>
          </w:tcPr>
          <w:p>
            <w:r>
              <w:rPr>
                <w:b/>
                <w:color w:val="FFFFFF"/>
              </w:rPr>
              <w:t>Value</w:t>
            </w:r>
          </w:p>
        </w:tc>
      </w:tr>
      <w:tr>
        <w:tc>
          <w:tcPr>
            <w:tcW w:type="dxa" w:w="4824"/>
          </w:tcPr>
          <w:p>
            <w:r>
              <w:t>University students</w:t>
            </w:r>
          </w:p>
        </w:tc>
        <w:tc>
          <w:tcPr>
            <w:tcW w:type="dxa" w:w="4824"/>
          </w:tcPr>
          <w:p>
            <w:r>
              <w:t>Short explanations, relatable study content, syllabus-linked discovery and visible progress.</w:t>
            </w:r>
          </w:p>
        </w:tc>
      </w:tr>
      <w:tr>
        <w:tc>
          <w:tcPr>
            <w:tcW w:type="dxa" w:w="4824"/>
          </w:tcPr>
          <w:p>
            <w:r>
              <w:t>Student creators</w:t>
            </w:r>
          </w:p>
        </w:tc>
        <w:tc>
          <w:tcPr>
            <w:tcW w:type="dxa" w:w="4824"/>
          </w:tcPr>
          <w:p>
            <w:r>
              <w:t>A place to publish educational reels and build an academic identity.</w:t>
            </w:r>
          </w:p>
        </w:tc>
      </w:tr>
      <w:tr>
        <w:tc>
          <w:tcPr>
            <w:tcW w:type="dxa" w:w="4824"/>
          </w:tcPr>
          <w:p>
            <w:r>
              <w:t>Tutors and teaching assistants</w:t>
            </w:r>
          </w:p>
        </w:tc>
        <w:tc>
          <w:tcPr>
            <w:tcW w:type="dxa" w:w="4824"/>
          </w:tcPr>
          <w:p>
            <w:r>
              <w:t>A lightweight way to explain difficult concepts in short formats.</w:t>
            </w:r>
          </w:p>
        </w:tc>
      </w:tr>
      <w:tr>
        <w:tc>
          <w:tcPr>
            <w:tcW w:type="dxa" w:w="4824"/>
          </w:tcPr>
          <w:p>
            <w:r>
              <w:t>Universities and departments</w:t>
            </w:r>
          </w:p>
        </w:tc>
        <w:tc>
          <w:tcPr>
            <w:tcW w:type="dxa" w:w="4824"/>
          </w:tcPr>
          <w:p>
            <w:r>
              <w:t>A more engaging channel for course content and student participation.</w:t>
            </w:r>
          </w:p>
        </w:tc>
      </w:tr>
    </w:tbl>
    <w:p>
      <w:pPr>
        <w:pStyle w:val="Heading1"/>
        <w:spacing w:after="120"/>
      </w:pPr>
      <w:r>
        <w:t>3. Main website experience</w:t>
      </w:r>
    </w:p>
    <w:p>
      <w:pPr>
        <w:spacing w:after="120"/>
      </w:pPr>
      <w:r>
        <w:t>Users register, choose interests such as biology, chemistry, mathematics, computer science, astronomy and physics, then receive a feed shaped by those interests and their university syllabus.</w:t>
      </w:r>
    </w:p>
    <w:p>
      <w:pPr>
        <w:pStyle w:val="ListBullet"/>
        <w:spacing w:after="120"/>
      </w:pPr>
      <w:r>
        <w:t>Educational reels and memes organized by subject and syllabus unit.</w:t>
      </w:r>
    </w:p>
    <w:p>
      <w:pPr>
        <w:pStyle w:val="ListBullet"/>
        <w:spacing w:after="120"/>
      </w:pPr>
      <w:r>
        <w:t>Featured videos and creator content at the top of the feed.</w:t>
      </w:r>
    </w:p>
    <w:p>
      <w:pPr>
        <w:pStyle w:val="ListBullet"/>
        <w:spacing w:after="120"/>
      </w:pPr>
      <w:r>
        <w:t>Like, save, comment and mark-as-learned actions.</w:t>
      </w:r>
    </w:p>
    <w:p>
      <w:pPr>
        <w:pStyle w:val="ListBullet"/>
        <w:spacing w:after="120"/>
      </w:pPr>
      <w:r>
        <w:t>Course chips and syllabus labels for academic context.</w:t>
      </w:r>
    </w:p>
    <w:p>
      <w:pPr>
        <w:pStyle w:val="ListBullet"/>
        <w:spacing w:after="120"/>
      </w:pPr>
      <w:r>
        <w:t>Study time, learning achievements and progress near the profile identity.</w:t>
      </w:r>
    </w:p>
    <w:p>
      <w:pPr>
        <w:pStyle w:val="Heading1"/>
        <w:spacing w:after="120"/>
      </w:pPr>
      <w:r>
        <w:t>4. Reels and creator profiles</w:t>
      </w:r>
    </w:p>
    <w:p>
      <w:pPr>
        <w:spacing w:after="120"/>
      </w:pPr>
      <w:r>
        <w:t>Users can upload a reel with a title, category and syllabus unit. After publication, it appears in the feed and on the creator’s profile. A profile shows posts, reels, followers, following, study hours, achievements and saved learning activity.</w:t>
      </w:r>
    </w:p>
    <w:p>
      <w:pPr>
        <w:pStyle w:val="Heading1"/>
        <w:spacing w:after="120"/>
      </w:pPr>
      <w:r>
        <w:t>5. Social and community features</w:t>
      </w:r>
    </w:p>
    <w:tbl>
      <w:tblPr>
        <w:tblStyle w:val="TableGrid"/>
        <w:tblW w:type="auto" w:w="0"/>
        <w:tblLook w:firstColumn="1" w:firstRow="1" w:lastColumn="0" w:lastRow="0" w:noHBand="0" w:noVBand="1" w:val="04A0"/>
      </w:tblPr>
      <w:tblGrid>
        <w:gridCol w:w="4824"/>
        <w:gridCol w:w="4824"/>
      </w:tblGrid>
      <w:tr>
        <w:tc>
          <w:tcPr>
            <w:tcW w:type="dxa" w:w="4824"/>
            <w:shd w:fill="44576D"/>
          </w:tcPr>
          <w:p>
            <w:r>
              <w:rPr>
                <w:b/>
                <w:color w:val="FFFFFF"/>
              </w:rPr>
              <w:t>Feature</w:t>
            </w:r>
          </w:p>
        </w:tc>
        <w:tc>
          <w:tcPr>
            <w:tcW w:type="dxa" w:w="4824"/>
            <w:shd w:fill="44576D"/>
          </w:tcPr>
          <w:p>
            <w:r>
              <w:rPr>
                <w:b/>
                <w:color w:val="FFFFFF"/>
              </w:rPr>
              <w:t>Description</w:t>
            </w:r>
          </w:p>
        </w:tc>
      </w:tr>
      <w:tr>
        <w:tc>
          <w:tcPr>
            <w:tcW w:type="dxa" w:w="4824"/>
          </w:tcPr>
          <w:p>
            <w:r>
              <w:t>Comments</w:t>
            </w:r>
          </w:p>
        </w:tc>
        <w:tc>
          <w:tcPr>
            <w:tcW w:type="dxa" w:w="4824"/>
          </w:tcPr>
          <w:p>
            <w:r>
              <w:t>Persistent discussions on reels with live refresh support.</w:t>
            </w:r>
          </w:p>
        </w:tc>
      </w:tr>
      <w:tr>
        <w:tc>
          <w:tcPr>
            <w:tcW w:type="dxa" w:w="4824"/>
          </w:tcPr>
          <w:p>
            <w:r>
              <w:t>Following</w:t>
            </w:r>
          </w:p>
        </w:tc>
        <w:tc>
          <w:tcPr>
            <w:tcW w:type="dxa" w:w="4824"/>
          </w:tcPr>
          <w:p>
            <w:r>
              <w:t>Follow creators whose content is useful.</w:t>
            </w:r>
          </w:p>
        </w:tc>
      </w:tr>
      <w:tr>
        <w:tc>
          <w:tcPr>
            <w:tcW w:type="dxa" w:w="4824"/>
          </w:tcPr>
          <w:p>
            <w:r>
              <w:t>Friend requests</w:t>
            </w:r>
          </w:p>
        </w:tc>
        <w:tc>
          <w:tcPr>
            <w:tcW w:type="dxa" w:w="4824"/>
          </w:tcPr>
          <w:p>
            <w:r>
              <w:t>Search usernames, send requests, accept or decline them.</w:t>
            </w:r>
          </w:p>
        </w:tc>
      </w:tr>
      <w:tr>
        <w:tc>
          <w:tcPr>
            <w:tcW w:type="dxa" w:w="4824"/>
          </w:tcPr>
          <w:p>
            <w:r>
              <w:t>Friends widget</w:t>
            </w:r>
          </w:p>
        </w:tc>
        <w:tc>
          <w:tcPr>
            <w:tcW w:type="dxa" w:w="4824"/>
          </w:tcPr>
          <w:p>
            <w:r>
              <w:t>A consistent area for connections and pending requests.</w:t>
            </w:r>
          </w:p>
        </w:tc>
      </w:tr>
      <w:tr>
        <w:tc>
          <w:tcPr>
            <w:tcW w:type="dxa" w:w="4824"/>
          </w:tcPr>
          <w:p>
            <w:r>
              <w:t>Saved learning</w:t>
            </w:r>
          </w:p>
        </w:tc>
        <w:tc>
          <w:tcPr>
            <w:tcW w:type="dxa" w:w="4824"/>
          </w:tcPr>
          <w:p>
            <w:r>
              <w:t>Return to useful content for later revision.</w:t>
            </w:r>
          </w:p>
        </w:tc>
      </w:tr>
      <w:tr>
        <w:tc>
          <w:tcPr>
            <w:tcW w:type="dxa" w:w="4824"/>
          </w:tcPr>
          <w:p>
            <w:r>
              <w:t>Achievements</w:t>
            </w:r>
          </w:p>
        </w:tc>
        <w:tc>
          <w:tcPr>
            <w:tcW w:type="dxa" w:w="4824"/>
          </w:tcPr>
          <w:p>
            <w:r>
              <w:t>Surface study activity and learning milestones.</w:t>
            </w:r>
          </w:p>
        </w:tc>
      </w:tr>
    </w:tbl>
    <w:p>
      <w:pPr>
        <w:pStyle w:val="Heading1"/>
        <w:spacing w:after="120"/>
      </w:pPr>
      <w:r>
        <w:t>6. Baymax learning assistant</w:t>
      </w:r>
    </w:p>
    <w:p>
      <w:pPr>
        <w:spacing w:after="120"/>
      </w:pPr>
      <w:r>
        <w:t>Baymax is KNOMO’s conversational study companion. It is intended to answer study questions, explain concepts, help users navigate the platform and provide productivity support.</w:t>
      </w:r>
    </w:p>
    <w:p>
      <w:pPr>
        <w:pStyle w:val="ListBullet"/>
        <w:spacing w:after="120"/>
      </w:pPr>
      <w:r>
        <w:t>Text chat and dynamic responses to greetings and questions.</w:t>
      </w:r>
    </w:p>
    <w:p>
      <w:pPr>
        <w:pStyle w:val="ListBullet"/>
        <w:spacing w:after="120"/>
      </w:pPr>
      <w:r>
        <w:t>Microphone input and speech recognition.</w:t>
      </w:r>
    </w:p>
    <w:p>
      <w:pPr>
        <w:pStyle w:val="ListBullet"/>
        <w:spacing w:after="120"/>
      </w:pPr>
      <w:r>
        <w:t>Wake-word experience when the user says “Baymax.”</w:t>
      </w:r>
    </w:p>
    <w:p>
      <w:pPr>
        <w:pStyle w:val="ListBullet"/>
        <w:spacing w:after="120"/>
      </w:pPr>
      <w:r>
        <w:t>Animated entrance and spoken welcome message.</w:t>
      </w:r>
    </w:p>
    <w:p>
      <w:pPr>
        <w:pStyle w:val="ListBullet"/>
        <w:spacing w:after="120"/>
      </w:pPr>
      <w:r>
        <w:t>Fallback text input when microphone access is blocked.</w:t>
      </w:r>
    </w:p>
    <w:p>
      <w:pPr>
        <w:spacing w:after="120"/>
      </w:pPr>
      <w:r>
        <w:t>Microphone access requires HTTPS in modern browsers. A local HTTP address may allow browsing but block microphone permissions on another laptop.</w:t>
      </w:r>
    </w:p>
    <w:p>
      <w:pPr>
        <w:pStyle w:val="Heading1"/>
        <w:spacing w:after="120"/>
      </w:pPr>
      <w:r>
        <w:t>7. Account and data model</w:t>
      </w:r>
    </w:p>
    <w:p>
      <w:pPr>
        <w:spacing w:after="120"/>
      </w:pPr>
      <w:r>
        <w:t>Persistent accounts are required so activity survives browser and server restarts. The production model includes users, credentials, interests, courses, syllabus units, reels, uploads, likes, saves, comments, follows, friend requests, study sessions, achievements and notifications.</w:t>
      </w:r>
    </w:p>
    <w:p>
      <w:pPr>
        <w:pStyle w:val="Heading1"/>
        <w:spacing w:after="120"/>
      </w:pPr>
      <w:r>
        <w:t>8. Technology foundation</w:t>
      </w:r>
    </w:p>
    <w:tbl>
      <w:tblPr>
        <w:tblStyle w:val="TableGrid"/>
        <w:tblW w:type="auto" w:w="0"/>
        <w:tblLook w:firstColumn="1" w:firstRow="1" w:lastColumn="0" w:lastRow="0" w:noHBand="0" w:noVBand="1" w:val="04A0"/>
      </w:tblPr>
      <w:tblGrid>
        <w:gridCol w:w="4824"/>
        <w:gridCol w:w="4824"/>
      </w:tblGrid>
      <w:tr>
        <w:tc>
          <w:tcPr>
            <w:tcW w:type="dxa" w:w="4824"/>
            <w:shd w:fill="44576D"/>
          </w:tcPr>
          <w:p>
            <w:r>
              <w:rPr>
                <w:b/>
                <w:color w:val="FFFFFF"/>
              </w:rPr>
              <w:t>Layer</w:t>
            </w:r>
          </w:p>
        </w:tc>
        <w:tc>
          <w:tcPr>
            <w:tcW w:type="dxa" w:w="4824"/>
            <w:shd w:fill="44576D"/>
          </w:tcPr>
          <w:p>
            <w:r>
              <w:rPr>
                <w:b/>
                <w:color w:val="FFFFFF"/>
              </w:rPr>
              <w:t>Technology / production direction</w:t>
            </w:r>
          </w:p>
        </w:tc>
      </w:tr>
      <w:tr>
        <w:tc>
          <w:tcPr>
            <w:tcW w:type="dxa" w:w="4824"/>
          </w:tcPr>
          <w:p>
            <w:r>
              <w:t>Frontend</w:t>
            </w:r>
          </w:p>
        </w:tc>
        <w:tc>
          <w:tcPr>
            <w:tcW w:type="dxa" w:w="4824"/>
          </w:tcPr>
          <w:p>
            <w:r>
              <w:t>React, Vite, Tailwind CSS and Shadcn-inspired UI.</w:t>
            </w:r>
          </w:p>
        </w:tc>
      </w:tr>
      <w:tr>
        <w:tc>
          <w:tcPr>
            <w:tcW w:type="dxa" w:w="4824"/>
          </w:tcPr>
          <w:p>
            <w:r>
              <w:t>Backend</w:t>
            </w:r>
          </w:p>
        </w:tc>
        <w:tc>
          <w:tcPr>
            <w:tcW w:type="dxa" w:w="4824"/>
          </w:tcPr>
          <w:p>
            <w:r>
              <w:t>FastAPI with Uvicorn for APIs and application logic.</w:t>
            </w:r>
          </w:p>
        </w:tc>
      </w:tr>
      <w:tr>
        <w:tc>
          <w:tcPr>
            <w:tcW w:type="dxa" w:w="4824"/>
          </w:tcPr>
          <w:p>
            <w:r>
              <w:t>Database</w:t>
            </w:r>
          </w:p>
        </w:tc>
        <w:tc>
          <w:tcPr>
            <w:tcW w:type="dxa" w:w="4824"/>
          </w:tcPr>
          <w:p>
            <w:r>
              <w:t>SQLite locally; managed PostgreSQL or MySQL in production.</w:t>
            </w:r>
          </w:p>
        </w:tc>
      </w:tr>
      <w:tr>
        <w:tc>
          <w:tcPr>
            <w:tcW w:type="dxa" w:w="4824"/>
          </w:tcPr>
          <w:p>
            <w:r>
              <w:t>Media</w:t>
            </w:r>
          </w:p>
        </w:tc>
        <w:tc>
          <w:tcPr>
            <w:tcW w:type="dxa" w:w="4824"/>
          </w:tcPr>
          <w:p>
            <w:r>
              <w:t>Cloud object storage such as R2 or S3 for videos and images.</w:t>
            </w:r>
          </w:p>
        </w:tc>
      </w:tr>
      <w:tr>
        <w:tc>
          <w:tcPr>
            <w:tcW w:type="dxa" w:w="4824"/>
          </w:tcPr>
          <w:p>
            <w:r>
              <w:t>Realtime</w:t>
            </w:r>
          </w:p>
        </w:tc>
        <w:tc>
          <w:tcPr>
            <w:tcW w:type="dxa" w:w="4824"/>
          </w:tcPr>
          <w:p>
            <w:r>
              <w:t>Polling initially; WebSockets, SSE or Redis as usage grows.</w:t>
            </w:r>
          </w:p>
        </w:tc>
      </w:tr>
      <w:tr>
        <w:tc>
          <w:tcPr>
            <w:tcW w:type="dxa" w:w="4824"/>
          </w:tcPr>
          <w:p>
            <w:r>
              <w:t>Operations</w:t>
            </w:r>
          </w:p>
        </w:tc>
        <w:tc>
          <w:tcPr>
            <w:tcW w:type="dxa" w:w="4824"/>
          </w:tcPr>
          <w:p>
            <w:r>
              <w:t>HTTPS, secrets, backups, monitoring, rate limits and error tracking.</w:t>
            </w:r>
          </w:p>
        </w:tc>
      </w:tr>
    </w:tbl>
    <w:p>
      <w:pPr>
        <w:pStyle w:val="Heading1"/>
        <w:spacing w:after="120"/>
      </w:pPr>
      <w:r>
        <w:t>9. Worldwide production direction</w:t>
      </w:r>
    </w:p>
    <w:p>
      <w:pPr>
        <w:spacing w:after="120"/>
      </w:pPr>
      <w:r>
        <w:t>The prototype can run locally or on a LAN. A worldwide service needs a public HTTPS domain, managed database, durable media storage, CDN delivery, video processing, background workers, monitoring, backups and moderation.</w:t>
      </w:r>
    </w:p>
    <w:p>
      <w:pPr>
        <w:pStyle w:val="ListBullet"/>
        <w:spacing w:after="120"/>
      </w:pPr>
      <w:r>
        <w:t>Deploy frontend and API with HTTPS.</w:t>
      </w:r>
    </w:p>
    <w:p>
      <w:pPr>
        <w:pStyle w:val="ListBullet"/>
        <w:spacing w:after="120"/>
      </w:pPr>
      <w:r>
        <w:t>Move account, reel, comment and friend data to a managed database.</w:t>
      </w:r>
    </w:p>
    <w:p>
      <w:pPr>
        <w:pStyle w:val="ListBullet"/>
        <w:spacing w:after="120"/>
      </w:pPr>
      <w:r>
        <w:t>Move videos and images to durable object storage.</w:t>
      </w:r>
    </w:p>
    <w:p>
      <w:pPr>
        <w:pStyle w:val="ListBullet"/>
        <w:spacing w:after="120"/>
      </w:pPr>
      <w:r>
        <w:t>Add compression, thumbnails and CDN delivery.</w:t>
      </w:r>
    </w:p>
    <w:p>
      <w:pPr>
        <w:pStyle w:val="ListBullet"/>
        <w:spacing w:after="120"/>
      </w:pPr>
      <w:r>
        <w:t>Add rate limits, moderation, error tracking and restore-tested backups.</w:t>
      </w:r>
    </w:p>
    <w:p>
      <w:pPr>
        <w:pStyle w:val="Heading1"/>
        <w:spacing w:after="120"/>
      </w:pPr>
      <w:r>
        <w:t>10. Startup positioning</w:t>
      </w:r>
    </w:p>
    <w:p>
      <w:pPr>
        <w:spacing w:after="120"/>
      </w:pPr>
      <w:r>
        <w:t>KNOMO is best positioned initially as a lean startup MVP for university students and student creators. The first year should prove that syllabus-linked short-form content improves learning engagement before investing in full global-scale infrastructure.</w:t>
      </w:r>
    </w:p>
    <w:p>
      <w:pPr>
        <w:pStyle w:val="ListBullet"/>
        <w:spacing w:after="120"/>
      </w:pPr>
      <w:r>
        <w:t>Measure reel completion, saves, study sessions and retention.</w:t>
      </w:r>
    </w:p>
    <w:p>
      <w:pPr>
        <w:pStyle w:val="ListBullet"/>
        <w:spacing w:after="120"/>
      </w:pPr>
      <w:r>
        <w:t>Build creator supply through campuses and academic clubs.</w:t>
      </w:r>
    </w:p>
    <w:p>
      <w:pPr>
        <w:pStyle w:val="ListBullet"/>
        <w:spacing w:after="120"/>
      </w:pPr>
      <w:r>
        <w:t>Keep video limits and moderation costs controlled.</w:t>
      </w:r>
    </w:p>
    <w:p>
      <w:pPr>
        <w:pStyle w:val="ListBullet"/>
        <w:spacing w:after="120"/>
      </w:pPr>
      <w:r>
        <w:t>Use the ₹7 lakh plan as a validation-year ceiling.</w:t>
      </w:r>
    </w:p>
    <w:p>
      <w:pPr>
        <w:pStyle w:val="Heading1"/>
        <w:spacing w:after="120"/>
      </w:pPr>
      <w:r>
        <w:t>11. Success measures and roadmap</w:t>
      </w:r>
    </w:p>
    <w:tbl>
      <w:tblPr>
        <w:tblStyle w:val="TableGrid"/>
        <w:tblW w:type="auto" w:w="0"/>
        <w:tblLook w:firstColumn="1" w:firstRow="1" w:lastColumn="0" w:lastRow="0" w:noHBand="0" w:noVBand="1" w:val="04A0"/>
      </w:tblPr>
      <w:tblGrid>
        <w:gridCol w:w="4824"/>
        <w:gridCol w:w="4824"/>
      </w:tblGrid>
      <w:tr>
        <w:tc>
          <w:tcPr>
            <w:tcW w:type="dxa" w:w="4824"/>
            <w:shd w:fill="44576D"/>
          </w:tcPr>
          <w:p>
            <w:r>
              <w:rPr>
                <w:b/>
                <w:color w:val="FFFFFF"/>
              </w:rPr>
              <w:t>Area</w:t>
            </w:r>
          </w:p>
        </w:tc>
        <w:tc>
          <w:tcPr>
            <w:tcW w:type="dxa" w:w="4824"/>
            <w:shd w:fill="44576D"/>
          </w:tcPr>
          <w:p>
            <w:r>
              <w:rPr>
                <w:b/>
                <w:color w:val="FFFFFF"/>
              </w:rPr>
              <w:t>Measures</w:t>
            </w:r>
          </w:p>
        </w:tc>
      </w:tr>
      <w:tr>
        <w:tc>
          <w:tcPr>
            <w:tcW w:type="dxa" w:w="4824"/>
          </w:tcPr>
          <w:p>
            <w:r>
              <w:t>Activation</w:t>
            </w:r>
          </w:p>
        </w:tc>
        <w:tc>
          <w:tcPr>
            <w:tcW w:type="dxa" w:w="4824"/>
          </w:tcPr>
          <w:p>
            <w:r>
              <w:t>Registration, interest setup and first learned item.</w:t>
            </w:r>
          </w:p>
        </w:tc>
      </w:tr>
      <w:tr>
        <w:tc>
          <w:tcPr>
            <w:tcW w:type="dxa" w:w="4824"/>
          </w:tcPr>
          <w:p>
            <w:r>
              <w:t>Learning</w:t>
            </w:r>
          </w:p>
        </w:tc>
        <w:tc>
          <w:tcPr>
            <w:tcW w:type="dxa" w:w="4824"/>
          </w:tcPr>
          <w:p>
            <w:r>
              <w:t>Study hours, learned reels, saves and repeat sessions.</w:t>
            </w:r>
          </w:p>
        </w:tc>
      </w:tr>
      <w:tr>
        <w:tc>
          <w:tcPr>
            <w:tcW w:type="dxa" w:w="4824"/>
          </w:tcPr>
          <w:p>
            <w:r>
              <w:t>Community</w:t>
            </w:r>
          </w:p>
        </w:tc>
        <w:tc>
          <w:tcPr>
            <w:tcW w:type="dxa" w:w="4824"/>
          </w:tcPr>
          <w:p>
            <w:r>
              <w:t>Follows, comments, friend-request acceptance and returning users.</w:t>
            </w:r>
          </w:p>
        </w:tc>
      </w:tr>
      <w:tr>
        <w:tc>
          <w:tcPr>
            <w:tcW w:type="dxa" w:w="4824"/>
          </w:tcPr>
          <w:p>
            <w:r>
              <w:t>Reliability</w:t>
            </w:r>
          </w:p>
        </w:tc>
        <w:tc>
          <w:tcPr>
            <w:tcW w:type="dxa" w:w="4824"/>
          </w:tcPr>
          <w:p>
            <w:r>
              <w:t>API latency, video playback success, errors and uptime.</w:t>
            </w:r>
          </w:p>
        </w:tc>
      </w:tr>
      <w:tr>
        <w:tc>
          <w:tcPr>
            <w:tcW w:type="dxa" w:w="4824"/>
          </w:tcPr>
          <w:p>
            <w:r>
              <w:t>Roadmap</w:t>
            </w:r>
          </w:p>
        </w:tc>
        <w:tc>
          <w:tcPr>
            <w:tcW w:type="dxa" w:w="4824"/>
          </w:tcPr>
          <w:p>
            <w:r>
              <w:t>MVP → reliable public launch → creator growth → multi-region scale.</w:t>
            </w:r>
          </w:p>
        </w:tc>
      </w:tr>
    </w:tbl>
    <w:p>
      <w:pPr>
        <w:pStyle w:val="Heading1"/>
        <w:spacing w:after="120"/>
      </w:pPr>
      <w:r>
        <w:t>Project outcome</w:t>
      </w:r>
    </w:p>
    <w:p>
      <w:pPr>
        <w:spacing w:after="120"/>
      </w:pPr>
      <w:r>
        <w:t>KNOMO aims to make education feel as immediate and social as short-form entertainment, while keeping syllabus relevance, learner progress and peer interaction at the center of the experience.</w:t>
      </w:r>
    </w:p>
    <w:sectPr w:rsidR="00FC693F" w:rsidRPr="0006063C" w:rsidSect="00034616">
      <w:headerReference w:type="default" r:id="rId9"/>
      <w:footerReference w:type="default" r:id="rId10"/>
      <w:pgSz w:w="12240" w:h="15840"/>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KNOMO • Learn more. Scroll less.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KNOMO  |  PROJECT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29353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8E3B5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29353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