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30"/>
          <w:szCs w:val="30"/>
        </w:rPr>
        <w:t xml:space="preserve">Paramount Skydance</w:t>
      </w:r>
    </w:p>
    <w:p>
      <w:pPr>
        <w:spacing w:after="60"/>
      </w:pPr>
      <w:r>
        <w:rPr>
          <w:rFonts w:ascii="Calibri" w:cs="Calibri" w:eastAsia="Calibri" w:hAnsi="Calibri"/>
          <w:color w:val="595959"/>
          <w:sz w:val="18"/>
          <w:szCs w:val="18"/>
        </w:rPr>
        <w:t xml:space="preserve">US Media &amp; Telecom  |  Rating: Underperform  |  PSKY  |  Price Target: $12.00</w:t>
      </w:r>
    </w:p>
    <w:p>
      <w:pPr>
        <w:spacing w:after="200"/>
      </w:pPr>
      <w:r>
        <w:rPr>
          <w:rFonts w:ascii="Calibri" w:cs="Calibri" w:eastAsia="Calibri" w:hAnsi="Calibri"/>
          <w:b/>
          <w:bCs/>
          <w:color w:val="1F3864"/>
          <w:sz w:val="26"/>
          <w:szCs w:val="26"/>
        </w:rPr>
        <w:t xml:space="preserve">Paramount (PSKY) 2Q26: Standalone story delivers, WBD clock keeps ticking</w:t>
      </w:r>
    </w:p>
    <w:p>
      <w:pPr>
        <w:spacing w:after="150" w:before="300"/>
      </w:pPr>
      <w:r>
        <w:rPr>
          <w:rFonts w:ascii="Calibri" w:cs="Calibri" w:eastAsia="Calibri" w:hAnsi="Calibri"/>
          <w:b/>
          <w:bCs/>
          <w:color w:val="2E74B5"/>
          <w:sz w:val="24"/>
          <w:szCs w:val="24"/>
        </w:rPr>
        <w:t xml:space="preserve">DETAILS</w:t>
      </w:r>
    </w:p>
    <w:p>
      <w:pPr>
        <w:spacing w:after="150" w:before="300"/>
      </w:pPr>
      <w:r>
        <w:rPr>
          <w:rFonts w:ascii="Calibri" w:cs="Calibri" w:eastAsia="Calibri" w:hAnsi="Calibri"/>
          <w:b/>
          <w:bCs/>
          <w:color w:val="2E74B5"/>
          <w:sz w:val="24"/>
          <w:szCs w:val="24"/>
        </w:rPr>
        <w:t xml:space="preserve">PSKY 2Q26 EARNINGS OVERVIEW AND GUIDANCE</w:t>
      </w:r>
    </w:p>
    <w:p>
      <w:pPr>
        <w:spacing w:after="200" w:line="276"/>
        <w:jc w:val="both"/>
      </w:pPr>
      <w:r>
        <w:rPr>
          <w:rFonts w:ascii="Calibri" w:cs="Calibri" w:eastAsia="Calibri" w:hAnsi="Calibri"/>
          <w:sz w:val="21"/>
          <w:szCs w:val="21"/>
        </w:rPr>
        <w:t xml:space="preserve">Second quarter 2026 results came in ahead of expectations, with total revenue of $6.9B up 1% YoY and Adj. EBITDA of $1.1B up 27% YoY (15.9% margin vs. 12.6% in 2Q25), with profitability improving across all three segments. Management raised full-year 2026 Adj. EBITDA guidance to a range of $3.8B-$3.9B (12.8% margin at the midpoint) from a prior $3.8B point estimate, and raised free cash flow conversion guidance to at least 10% (before ~$800M of transformation costs) from a prior ~5%. The company reaffirmed its ~$30B full-year revenue outlook (4% YoY growth). Q2 marked the one-year anniversary of the Skydance-Paramount close, with management framing the print as evidence the standalone strategy is working even as the WBD transaction remains pending.</w:t>
      </w:r>
    </w:p>
    <w:p>
      <w:pPr>
        <w:spacing w:after="150" w:before="300"/>
      </w:pPr>
      <w:r>
        <w:rPr>
          <w:rFonts w:ascii="Calibri" w:cs="Calibri" w:eastAsia="Calibri" w:hAnsi="Calibri"/>
          <w:b/>
          <w:bCs/>
          <w:color w:val="2E74B5"/>
          <w:sz w:val="24"/>
          <w:szCs w:val="24"/>
        </w:rPr>
        <w:t xml:space="preserve">DTC</w:t>
      </w:r>
    </w:p>
    <w:p>
      <w:pPr>
        <w:spacing w:after="200" w:line="276"/>
        <w:jc w:val="both"/>
      </w:pPr>
      <w:r>
        <w:rPr>
          <w:rFonts w:ascii="Calibri" w:cs="Calibri" w:eastAsia="Calibri" w:hAnsi="Calibri"/>
          <w:sz w:val="21"/>
          <w:szCs w:val="21"/>
        </w:rPr>
        <w:t xml:space="preserve">DTC delivered revenue growth of 9% YoY to $2.5B and Adj. EBITDA of $366M (14.8% margin), up 44% vs. $254M in 2Q25. Paramount+ revenue grew 16% YoY, driven by ~6% subscriber growth and ~12% ARPU growth. Paramount+ added ~2M subscribers in the quarter (vs. 0.7M in 1Q26), reaching 81.6M globally and ahead of internal expectations, including ~2M international hard-bundle exits. Outperformance was driven by the programming slate — Dutton Ranch (the biggest original series launch in P+ history, 12.9M viewers in week one, 13.4M average views/episode), UFC Freedom 250 (17M viewers, largest exclusive live event audience in P+ history), and the FIFA World Cup across six LATAM markets — which together drove the platform's best retention/lowest churn quarter on record. DTC advertising revenue grew 8% YoY, with Paramount+ ad revenue up more than 30% in the quarter. BET+ was fully integrated into Paramount+ during the quarter, which along with continued Showtime declines was a modest headwind to total DTC growth. Management continues to expect DTC revenue and profitability to accelerate through 2H26, though Q3 margins will see a seasonal step-down tied to content amortization timing (sports rights, new originals) before improving again in Q4.</w:t>
      </w:r>
    </w:p>
    <w:p>
      <w:pPr>
        <w:spacing w:after="150" w:before="300"/>
      </w:pPr>
      <w:r>
        <w:rPr>
          <w:rFonts w:ascii="Calibri" w:cs="Calibri" w:eastAsia="Calibri" w:hAnsi="Calibri"/>
          <w:b/>
          <w:bCs/>
          <w:color w:val="2E74B5"/>
          <w:sz w:val="24"/>
          <w:szCs w:val="24"/>
        </w:rPr>
        <w:t xml:space="preserve">Studios</w:t>
      </w:r>
    </w:p>
    <w:p>
      <w:pPr>
        <w:spacing w:after="200" w:line="276"/>
        <w:jc w:val="both"/>
      </w:pPr>
      <w:r>
        <w:rPr>
          <w:rFonts w:ascii="Calibri" w:cs="Calibri" w:eastAsia="Calibri" w:hAnsi="Calibri"/>
          <w:sz w:val="21"/>
          <w:szCs w:val="21"/>
        </w:rPr>
        <w:t xml:space="preserve">Studios revenue grew 16% YoY to $1.3B, reflecting strong third-party deliveries at Paramount Television Studios and the consolidation of Skydance licensing revenue, partially offset by lower theatrical revenue as the segment lapped Mission: Impossible – The Final Reckoning in the prior-year quarter. Adj. EBITDA was $36M (2.7% margin) vs. -$31M in 2Q25. The Q2 film slate, led by Scary Movie, outperformed expectations, and management highlighted a more disciplined, data-driven approach to greenlighting and marketing, generating 11% more box office per marketing dollar in 2026 vs. 2025. Eight films remain in the release slate for 2H26, including PAW Patrol: The Dino Movie, Street Fighter, and Mr. Irrelevant (the NFL's first theatrical release). Content licensing continues to gain momentum, highlighted by Swapped (Skydance Animation), which is on track to become Netflix's second-most-viewed original animated film. The company also launched Paramount Games in June, with two titles in development (TMNT: The Last Ronin, Star Trek: Shadow Frontier).</w:t>
      </w:r>
    </w:p>
    <w:p>
      <w:pPr>
        <w:spacing w:after="150" w:before="300"/>
      </w:pPr>
      <w:r>
        <w:rPr>
          <w:rFonts w:ascii="Calibri" w:cs="Calibri" w:eastAsia="Calibri" w:hAnsi="Calibri"/>
          <w:b/>
          <w:bCs/>
          <w:color w:val="2E74B5"/>
          <w:sz w:val="24"/>
          <w:szCs w:val="24"/>
        </w:rPr>
        <w:t xml:space="preserve">TV Media</w:t>
      </w:r>
    </w:p>
    <w:p>
      <w:pPr>
        <w:spacing w:after="200" w:line="276"/>
        <w:jc w:val="both"/>
      </w:pPr>
      <w:r>
        <w:rPr>
          <w:rFonts w:ascii="Calibri" w:cs="Calibri" w:eastAsia="Calibri" w:hAnsi="Calibri"/>
          <w:sz w:val="21"/>
          <w:szCs w:val="21"/>
        </w:rPr>
        <w:t xml:space="preserve">TV Media revenue declined 9% YoY to $3.1B, with Adj. EBITDA of $1.1B (34.0% margin) improving from 26.4% in 2Q25 as disciplined expense management more than offset revenue declines. Advertising revenue fell 14% YoY, reflecting an ~8pt headwind from lapping NCAA Final Four programming and a ~3pt headwind from the Telefe/Chilevision sale, partially offset by a ~2pt political advertising benefit. Affiliate revenue declined 6% YoY, consistent with continued Pay-TV subscriber erosion, though rates remain resilient. On the content side, CBS held seven of the top 10 broadcast series in the most recent season, and CBS/Paramount+ combined for 10 of the top 20 series across linear and streaming in Q2; Survivor's 50th season was a particular highlight. Cable brands also set benchmarks, with The Daily Show posting its highest ratings in nine years and the BET Awards its highest ratings/largest audience in years. Looking to the 2026-2027 season, CBS's primetime schedule includes 15 CBS Studios series (new additions Cupertino, Einstein, and Eternally Yours alongside returning hits Sheriff's Country and Matlock). CBS Sports also posted records this quarter, including its most-watched Masters in over a decade and most-watched UEFA Champions League Final ever on U.S. English-language TV. Average production costs per episode were down nearly 10% YoY for the 2025-2026 broadcast season even as CBS grew its share of the top 20 series — evidence, per management, that the segment can be managed for profitability without sacrificing content quality.</w:t>
      </w:r>
    </w:p>
    <w:p>
      <w:pPr>
        <w:spacing w:after="150" w:before="300"/>
      </w:pPr>
      <w:r>
        <w:rPr>
          <w:rFonts w:ascii="Calibri" w:cs="Calibri" w:eastAsia="Calibri" w:hAnsi="Calibri"/>
          <w:b/>
          <w:bCs/>
          <w:color w:val="2E74B5"/>
          <w:sz w:val="24"/>
          <w:szCs w:val="24"/>
        </w:rPr>
        <w:t xml:space="preserve">PSKY Synergies &amp; WBD Transaction Update</w:t>
      </w:r>
    </w:p>
    <w:p>
      <w:pPr>
        <w:spacing w:after="200" w:line="276"/>
        <w:jc w:val="both"/>
      </w:pPr>
      <w:r>
        <w:rPr>
          <w:rFonts w:ascii="Calibri" w:cs="Calibri" w:eastAsia="Calibri" w:hAnsi="Calibri"/>
          <w:sz w:val="21"/>
          <w:szCs w:val="21"/>
        </w:rPr>
        <w:t xml:space="preserve">Management raised its run-rate synergy target for the year, now expecting to exit 2026 with $2.7B+ in run-rate efficiencies (vs. $2.5B previously), while continuing to guide to $3B+ in total efficiencies from the Skydance-Paramount combination. Progress continues on unifying company systems onto Oracle Fusion, with additional divisions live as of July, and on converging the Paramount+/Pluto TV tech stack, with the web experience live since June 30 and full O&amp;O completion targeted by end of summer.</w:t>
      </w:r>
    </w:p>
    <w:p>
      <w:pPr>
        <w:spacing w:after="200" w:line="276"/>
        <w:jc w:val="both"/>
      </w:pPr>
      <w:r>
        <w:rPr>
          <w:rFonts w:ascii="Calibri" w:cs="Calibri" w:eastAsia="Calibri" w:hAnsi="Calibri"/>
          <w:sz w:val="21"/>
          <w:szCs w:val="21"/>
        </w:rPr>
        <w:t xml:space="preserve">On the WBD transaction, management reiterated full confidence the deal will close, noting clearances (or non-challenges) from regulators/governments in 65 jurisdictions to date, including the U.S., EU, China, Canada, and others — unchanged from the count cited as of the 1Q26 print. Financing remains fully committed, with $10B in permanent debt secured, the $49B bridge syndicated across 18 global financial institutions, and PIPE equity syndicated to strategic investors. Management noted the antitrust trial date has now been set for March 2027, and quantified the cost of a delayed close: bridge fees of $8-9M/month plus an additional bridge commitment fee due June 2027 (total incremental financing cost of ~$190M if the deal doesn't close until June), and a ticking fee payable to WBD shareholders of $0.25/share/quarter (~$650M/quarter) for any close after September 30, funded via additional equity at close. We'd flag that the trial timing and ticking-fee mechanics both point to a close later than the previously guided end-of-Q3 2026 timeline. On the balance sheet, PSKY ended the quarter with $1.6B in cash and $3.2B of undrawn revolver capacity (gross debt of $15.2B, including the $1.8B drawn on the revolver after repaying $350M in the quarter); the $2.15B drawn in Q1 to fund the $2.8B WBD/Netflix termination fee is expected to be repaid from WBD-transaction private placement proceeds, and only $86M of debt matures for the remainder of 2026.</w:t>
      </w:r>
    </w:p>
    <w:p>
      <w:pPr>
        <w:pBdr>
          <w:top w:val="single" w:color="999999" w:sz="6" w:space="4"/>
        </w:pBdr>
        <w:spacing w:before="300"/>
      </w:pPr>
      <w:r>
        <w:rPr>
          <w:rFonts w:ascii="Calibri" w:cs="Calibri" w:eastAsia="Calibri" w:hAnsi="Calibri"/>
          <w:i/>
          <w:iCs/>
          <w:color w:val="595959"/>
          <w:sz w:val="16"/>
          <w:szCs w:val="16"/>
        </w:rPr>
        <w:t xml:space="preserve">Source: Company reports (2Q26 Shareholder Letter, Trending Schedules, and Earnings Call Transcript), Bernstein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jc w:val="right"/>
    </w:pPr>
    <w:r>
      <w:rPr>
        <w:rFonts w:ascii="Calibri" w:cs="Calibri" w:eastAsia="Calibri" w:hAnsi="Calibri"/>
        <w:color w:val="595959"/>
        <w:sz w:val="16"/>
        <w:szCs w:val="16"/>
      </w:rPr>
      <w:t xml:space="preserve">US MEDIA &amp; TELECOM   |   BERNSTEIN   </w:t>
    </w:r>
    <w:r>
      <w:rPr>
        <w:rFonts w:ascii="Calibri" w:cs="Calibri" w:eastAsia="Calibri" w:hAnsi="Calibri"/>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10080"/>
      </w:tabs>
    </w:pPr>
    <w:r>
      <w:rPr>
        <w:rFonts w:ascii="Calibri" w:cs="Calibri" w:eastAsia="Calibri" w:hAnsi="Calibri"/>
        <w:color w:val="595959"/>
        <w:sz w:val="16"/>
        <w:szCs w:val="16"/>
      </w:rPr>
      <w:t xml:space="preserve">Laurent Yoon   +1 917 344 8502   laurent.yoon@bernsteinsg.com</w:t>
    </w:r>
    <w:r>
      <w:rPr>
        <w:rFonts w:ascii="Calibri" w:cs="Calibri" w:eastAsia="Calibri" w:hAnsi="Calibri"/>
        <w:color w:val="595959"/>
        <w:sz w:val="16"/>
        <w:szCs w:val="16"/>
      </w:rPr>
      <w:t xml:space="preserve">		4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2026-08-04T22:43:46.005Z</dcterms:created>
  <dcterms:modified xsi:type="dcterms:W3CDTF">2026-08-04T22:43:46.022Z</dcterms:modified>
</cp:coreProperties>
</file>

<file path=docProps/custom.xml><?xml version="1.0" encoding="utf-8"?>
<Properties xmlns="http://schemas.openxmlformats.org/officeDocument/2006/custom-properties" xmlns:vt="http://schemas.openxmlformats.org/officeDocument/2006/docPropsVTypes"/>
</file>