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9BD7"/>
          <w:sz w:val="24"/>
          <w:szCs w:val="24"/>
        </w:rPr>
        <w:t xml:space="preserve">DETAILS</w:t>
      </w:r>
    </w:p>
    <w:p>
      <w:pPr>
        <w:pBdr>
          <w:bottom w:val="single" w:color="999999" w:sz="6"/>
        </w:pBdr>
        <w:spacing w:after="200"/>
      </w:pPr>
      <w:r>
        <w:rPr>
          <w:rFonts w:ascii="Arial" w:cs="Arial" w:eastAsia="Arial" w:hAnsi="Arial"/>
          <w:i/>
          <w:iCs/>
          <w:color w:val="595959"/>
          <w:sz w:val="19"/>
          <w:szCs w:val="19"/>
        </w:rPr>
        <w:t xml:space="preserve">T-Mobile (TMUS) 2Q26 — Results Detail</w:t>
      </w:r>
    </w:p>
    <w:p>
      <w:pPr>
        <w:spacing w:after="140" w:before="280"/>
      </w:pPr>
      <w:r>
        <w:rPr>
          <w:rFonts w:ascii="Arial" w:cs="Arial" w:eastAsia="Arial" w:hAnsi="Arial"/>
          <w:b/>
          <w:bCs/>
          <w:sz w:val="22"/>
          <w:szCs w:val="22"/>
        </w:rPr>
        <w:t xml:space="preserve">POSTPAID SEGMENT</w:t>
      </w:r>
    </w:p>
    <w:p>
      <w:pPr>
        <w:pStyle w:val="ListParagraph"/>
        <w:numPr>
          <w:ilvl w:val="0"/>
          <w:numId w:val="2"/>
        </w:numPr>
        <w:spacing w:after="160" w:line="276"/>
      </w:pPr>
      <w:r>
        <w:rPr>
          <w:rFonts w:ascii="Arial" w:cs="Arial" w:eastAsia="Arial" w:hAnsi="Arial"/>
          <w:b w:val="false"/>
          <w:bCs w:val="false"/>
          <w:sz w:val="19"/>
          <w:szCs w:val="19"/>
        </w:rPr>
        <w:t xml:space="preserve">Q2 was another solid quarter for accounts, with 277 thousand postpaid account net adds, exceeding expectations by 6.9%, though down 12.9% YoY. Management attributed the YoY decline to higher deactivations driven by a growing account base—including following the UScellular acquisition—and higher average broadband-only accounts, partially offset by higher gross adds including fiber accounts from Metronet. The company reiterated its 0.95M-1.05M FY26 guidance and, notably, provided a 3Q26 guide of ~250K net adds, reflecting an anticipated temporary elevation in account churn from the Q3 legacy rate plan modernization. Management flagged the impact is concentrated in accounts with fewer lines, so the phone churn impact should be smaller. With ~494K net adds in 1H, the company is tracking to roughly the midpoint of the full-year range, implying no assumed 2H acceleration.</w:t>
      </w:r>
    </w:p>
    <w:p>
      <w:pPr>
        <w:pStyle w:val="ListParagraph"/>
        <w:numPr>
          <w:ilvl w:val="0"/>
          <w:numId w:val="2"/>
        </w:numPr>
        <w:spacing w:after="160" w:line="276"/>
      </w:pPr>
      <w:r>
        <w:rPr>
          <w:rFonts w:ascii="Arial" w:cs="Arial" w:eastAsia="Arial" w:hAnsi="Arial"/>
          <w:b w:val="false"/>
          <w:bCs w:val="false"/>
          <w:sz w:val="19"/>
          <w:szCs w:val="19"/>
        </w:rPr>
        <w:t xml:space="preserve">Postpaid ARPA increased 2.0% YoY to $152.91, essentially in line with consensus (-0.1%). The deceleration from 1Q's 3.9% is largely comp-driven: management disclosed that ex-M&amp;A (UScellular and fiber JV accounts onboarded at lower ARPA), underlying ARPA grew 3.7% YoY. The company reiterated its 2.5%-3.0% ARPA growth guide for the year, but the CFO explicitly noted they now expect to land “more towards the 3% side”—an incremental positive vs. the reiteration at 1Q. Growth continues to be driven by premium tier self-selection (60%+ of new lines on new accounts), fee revenue from new tax-and-fee-inclusive plans, and rising customers per account, partially offset by promotional activity.</w:t>
      </w:r>
    </w:p>
    <w:p>
      <w:pPr>
        <w:pStyle w:val="ListParagraph"/>
        <w:numPr>
          <w:ilvl w:val="0"/>
          <w:numId w:val="2"/>
        </w:numPr>
        <w:spacing w:after="160" w:line="276"/>
      </w:pPr>
      <w:r>
        <w:rPr>
          <w:rFonts w:ascii="Arial" w:cs="Arial" w:eastAsia="Arial" w:hAnsi="Arial"/>
          <w:b w:val="false"/>
          <w:bCs w:val="false"/>
          <w:sz w:val="19"/>
          <w:szCs w:val="19"/>
        </w:rPr>
        <w:t xml:space="preserve">Postpaid service revenues of $15.9B grew 12.6% YoY, in line with consensus (-0.1%), and remain the primary engine of total service revenue growth at multiples of peers.</w:t>
      </w:r>
    </w:p>
    <w:p>
      <w:pPr>
        <w:pStyle w:val="ListParagraph"/>
        <w:numPr>
          <w:ilvl w:val="0"/>
          <w:numId w:val="2"/>
        </w:numPr>
        <w:spacing w:after="160" w:line="276"/>
      </w:pPr>
      <w:r>
        <w:rPr>
          <w:rFonts w:ascii="Arial" w:cs="Arial" w:eastAsia="Arial" w:hAnsi="Arial"/>
          <w:b w:val="false"/>
          <w:bCs w:val="false"/>
          <w:sz w:val="19"/>
          <w:szCs w:val="19"/>
        </w:rPr>
        <w:t xml:space="preserve">Postpaid account churn was 0.99%, 7bps higher YoY (consistent with the broadband-mix explanation given since the metric was introduced) but marginally better than consensus (1.00%) and down 5bps sequentially on seasonally lower switching. Management separately disclosed postpaid phone churn of 0.85%, down significantly YoY—reinforcing that the account-level churn elevation reflects higher-churn broadband subscribers in the base rather than deterioration in core phone.</w:t>
      </w:r>
    </w:p>
    <w:p>
      <w:pPr>
        <w:pStyle w:val="ListParagraph"/>
        <w:numPr>
          <w:ilvl w:val="0"/>
          <w:numId w:val="2"/>
        </w:numPr>
        <w:spacing w:after="160" w:line="276"/>
      </w:pPr>
      <w:r>
        <w:rPr>
          <w:rFonts w:ascii="Arial" w:cs="Arial" w:eastAsia="Arial" w:hAnsi="Arial"/>
          <w:b w:val="false"/>
          <w:bCs w:val="false"/>
          <w:sz w:val="19"/>
          <w:szCs w:val="19"/>
        </w:rPr>
        <w:t xml:space="preserve">T-Mobile again did not report FWA net adds, but commented that total broadband net adds were in the “upper 400K range” yet again in 2Q—consistent with 1Q's “&gt;500K” commentary, suggesting modest sequential moderation but continued leadership as the fastest-growing ISP. Management reiterated the 15M 5G broadband subscriber target by 2030 and provided incremental detail on the fallow capacity model: capacity is forecast at the hex-bin level (36M bins) at peak hour, with conservative FWA share caps, and excludes any new spectrum—positioning C-band 2.0 and 2.7GHz (2027/2028 auctions) as pure upside to the target rather than a dependency. Management stated it would not purchase spectrum strictly for fixed wireless. On fiber, the JVs are reaching ~20% penetration within the first 12 months of deployment in new markets, and management again emphasized equity value creation over homes-passed targets, noting fiber wins free up fallow capacity for incremental FWA sales.</w:t>
      </w:r>
    </w:p>
    <w:p>
      <w:pPr>
        <w:spacing w:after="140" w:before="280"/>
      </w:pPr>
      <w:r>
        <w:rPr>
          <w:rFonts w:ascii="Arial" w:cs="Arial" w:eastAsia="Arial" w:hAnsi="Arial"/>
          <w:b/>
          <w:bCs/>
          <w:sz w:val="22"/>
          <w:szCs w:val="22"/>
        </w:rPr>
        <w:t xml:space="preserve">PREPAID SEGMENT</w:t>
      </w:r>
    </w:p>
    <w:p>
      <w:pPr>
        <w:pStyle w:val="ListParagraph"/>
        <w:numPr>
          <w:ilvl w:val="0"/>
          <w:numId w:val="2"/>
        </w:numPr>
        <w:spacing w:after="160" w:line="276"/>
      </w:pPr>
      <w:r>
        <w:rPr>
          <w:rFonts w:ascii="Arial" w:cs="Arial" w:eastAsia="Arial" w:hAnsi="Arial"/>
          <w:b w:val="false"/>
          <w:bCs w:val="false"/>
          <w:sz w:val="19"/>
          <w:szCs w:val="19"/>
        </w:rPr>
        <w:t xml:space="preserve">The company missed expectations in prepaid revenues by 1.1% (-6.4% YoY) and continues to not report subs or ARPU. Management characterized the decline as “a little bit of both” subscribers and ARPU, with higher-end prepaid customers increasingly migrating to postpaid brands—which management frames as value-accretive (captured in postpaid CLV/ARPA) rather than pure competitive loss. The CFO guided to a similar sequential revenue trend in Q3 and Q4 as observed from Q1 to Q2.</w:t>
      </w:r>
    </w:p>
    <w:p>
      <w:pPr>
        <w:spacing w:after="140" w:before="280"/>
      </w:pPr>
      <w:r>
        <w:rPr>
          <w:rFonts w:ascii="Arial" w:cs="Arial" w:eastAsia="Arial" w:hAnsi="Arial"/>
          <w:b/>
          <w:bCs/>
          <w:sz w:val="22"/>
          <w:szCs w:val="22"/>
        </w:rPr>
        <w:t xml:space="preserve">OTHER FINANCIALS</w:t>
      </w:r>
    </w:p>
    <w:p>
      <w:pPr>
        <w:pStyle w:val="ListParagraph"/>
        <w:numPr>
          <w:ilvl w:val="0"/>
          <w:numId w:val="2"/>
        </w:numPr>
        <w:spacing w:after="160" w:line="276"/>
      </w:pPr>
      <w:r>
        <w:rPr>
          <w:rFonts w:ascii="Arial" w:cs="Arial" w:eastAsia="Arial" w:hAnsi="Arial"/>
          <w:b w:val="false"/>
          <w:bCs w:val="false"/>
          <w:sz w:val="19"/>
          <w:szCs w:val="19"/>
        </w:rPr>
        <w:t xml:space="preserve">Service revenues were $19.0B in Q2, up 8.9% YoY, essentially in line with consensus (-0.2%). Management maintained the ~$77B FY26 guidance and guided 3Q26 to ~$19.3B (+6% YoY), with an implied sequential build of &gt;$300M into Q3 and ~$600M into Q4, driven by postpaid volume and ARPA expansion. Wholesale and other revenues beat by 1.3% but declined 8.4% YoY; management trimmed the FY outlook from “flat to slightly up” to “roughly flat” on the planned Dish/TracFone roll-off, with typical Q4 seasonality.</w:t>
      </w:r>
    </w:p>
    <w:p>
      <w:pPr>
        <w:pStyle w:val="ListParagraph"/>
        <w:numPr>
          <w:ilvl w:val="0"/>
          <w:numId w:val="2"/>
        </w:numPr>
        <w:spacing w:after="160" w:line="276"/>
      </w:pPr>
      <w:r>
        <w:rPr>
          <w:rFonts w:ascii="Arial" w:cs="Arial" w:eastAsia="Arial" w:hAnsi="Arial"/>
          <w:b w:val="false"/>
          <w:bCs w:val="false"/>
          <w:sz w:val="19"/>
          <w:szCs w:val="19"/>
        </w:rPr>
        <w:t xml:space="preserve">Core adjusted EBITDA of $9.5B grew 11.7% YoY, beating expectations by approximately 1.4%, with margin of 50.2% (+130bps YoY). Management reiterated the $37.1B-$37.5B FY26 guidance (+10% YoY at midpoint)—no raise this quarter, in contrast to the low-end raise at 1Q—and guided 3Q26 to approximately $9.4B (+8% YoY). The implied 2H deceleration from ~12% growth in 1H is attributed to acquisition comp timing (2H25 comps already include UScellular) rather than any fundamental slowdown.</w:t>
      </w:r>
    </w:p>
    <w:p>
      <w:pPr>
        <w:pStyle w:val="ListParagraph"/>
        <w:numPr>
          <w:ilvl w:val="0"/>
          <w:numId w:val="2"/>
        </w:numPr>
        <w:spacing w:after="160" w:line="276"/>
      </w:pPr>
      <w:r>
        <w:rPr>
          <w:rFonts w:ascii="Arial" w:cs="Arial" w:eastAsia="Arial" w:hAnsi="Arial"/>
          <w:b w:val="false"/>
          <w:bCs w:val="false"/>
          <w:sz w:val="19"/>
          <w:szCs w:val="19"/>
        </w:rPr>
        <w:t xml:space="preserve">Adjusted Free Cash Flow increased 4.4% YoY, beating expectations by 6.0%. Management raised FY26 guidance by $200M at the midpoint to $18.4B-$18.8B (following the $100M low-end raise at 1Q), driven primarily by lower cash income taxes rather than operational upside; the effective tax rate guide is unchanged at 25%-26%. Operating cash flow guidance was similarly raised $200M to $28.4B-$28.8B, while capex guidance was maintained at ~$10B—though Q2 capex of $2.7B ran 9.8% above consensus on UScellular integration spend.</w:t>
      </w:r>
    </w:p>
    <w:p>
      <w:pPr>
        <w:pStyle w:val="ListParagraph"/>
        <w:numPr>
          <w:ilvl w:val="0"/>
          <w:numId w:val="2"/>
        </w:numPr>
        <w:spacing w:after="160" w:line="276"/>
      </w:pPr>
      <w:r>
        <w:rPr>
          <w:rFonts w:ascii="Arial" w:cs="Arial" w:eastAsia="Arial" w:hAnsi="Arial"/>
          <w:b w:val="false"/>
          <w:bCs w:val="false"/>
          <w:sz w:val="19"/>
          <w:szCs w:val="19"/>
        </w:rPr>
        <w:t xml:space="preserve">Diluted EPS of $2.99 beat consensus by 15.9% (+5.3% YoY), including $0.14 of UScellular merger-related costs (vs. $0.43 in 1Q—a meaningful sequential step-down as integration spend normalizes). On capital returns, the company repurchased $2.2B in Q2 ($2.5B including July through the 17th) alongside $1.1B in dividends, but the CFO declined to guide a steady quarterly buyback cadence, flagging a deliberately maintained capital envelope for the 2027/2028 spectrum auctions (C-band 2.0, 2.7GHz)—worth watching as a potential governor on the pace of returns into year-end.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2026-07-23T19:06:33.473Z</dcterms:created>
  <dcterms:modified xsi:type="dcterms:W3CDTF">2026-07-23T19:06:33.493Z</dcterms:modified>
</cp:coreProperties>
</file>

<file path=docProps/custom.xml><?xml version="1.0" encoding="utf-8"?>
<Properties xmlns="http://schemas.openxmlformats.org/officeDocument/2006/custom-properties" xmlns:vt="http://schemas.openxmlformats.org/officeDocument/2006/docPropsVTypes"/>
</file>