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Paramount Skydance (PSKY)</w:t>
      </w:r>
    </w:p>
    <w:p>
      <w:pPr>
        <w:spacing w:after="60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US Media &amp; Telecom  |  2Q26 Earnings — Sell-Side Callback Q&amp;A Summary</w:t>
      </w:r>
    </w:p>
    <w:p>
      <w:pPr>
        <w:spacing w:after="25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PSKY 2Q26 Callback Q&amp;A Summary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Q1: Can you give more detail on where TV Media synergies are coming from, and does the March trial date/potential delay in closing change your strategy on the WBD deal?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TV Media synergies are broad-based — we're cross-utilizing teams and content across cable and broadcast, leaning more on our library, and improving marketing efficiency, on top of the cost discipline already showing up in CBS's ratings performance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It's early to size an exact 2027 number, but the team continues working through infrastructure, people, and operations costs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Nothing has changed in our strategy — we remain very confident the transaction will close; the March trial date isn't what we wanted, but we respect the court's decision and are prepared to go to trial if needed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Q2: The ticking fee will be paid in shares if the deal closes after September 30th — does that carry the same $12 floor as the PIPE, or would it be priced at market? Is there anything in the PIPE terms that would let investors renegotiate given the stock has traded below $12?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Yes, the ticking fee is paid through the same PIPE mechanism and is subject to the same $12-$16 pricing range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There's nothing in the agreement that allows repricing — that range was set through negotiation between the board's independent committee and the PIPE investors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To be clear, this is incremental equity consideration funded through the transaction, not a direct cash or balance sheet cost to us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Q3: What's your expectation for cash restructuring costs in 2027 versus the $800M guided for 2026?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 haven't given explicit 2027 guidance yet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$800M remains the number for 2026, as stated in the letter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Q4: To confirm — the ticking fee equity is incremental dilution to current shareholders, even though it's funded through the transaction, correct?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Yes, it is dilutive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It's a small piece relative to our overall equity size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Q5: YouTube Premium did a deal with Peacock to ingest the service into YouTube. Would you consider something similar — Paramount+ being ingested into a platform like YouTube or Netflix?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Our strategy with the WBD combination is to reach scale quickly through a unified, standalone direct-to-consumer service — not by folding into someone else's platform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 believe our combined content portfolio and technology stack are what will differentiate the consumer experience, and that's our primary focus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Peacock-style deal would be a high bar for us given we'd be a different scale and market position; we'd have to evaluate anything like that very closely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Longer-term, we do expect to push further into gaming and interactive as part of the Paramount+ platform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Q6: Can you elaborate on how you'll maintain quality while ramping to 15 films a year (30+ combined with WBD)? How does the theatrical window/licensing strategy work?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Skydance-Paramount combination was built around bringing in the creative and production DNA Skydance built over many years — Skydance already has two of the top 10 movies on Netflix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We've increased the pace and quality of greenlighting and already have 15+ films lined up for next year — a mix of IP-driven titles, originals, and genre films, not just blockbusters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Combined with WBD, we're targeting 30+ quality films a year (about one every 12 days), each running a full theatrical window with marketing support before flowing to streaming and other pay-one partners — theatrical films are a key driver of both retention and new sign-ups on our streaming platform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Q7: Is the incremental $1.5 billion content cash spend figure still right for 2026? How much lag is there between cash content spend and P&amp;L amortization this year? What should we assume for the full-year tax rate?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 haven't broken out total 2026 content cash spend specifically, but between our transformation cost guidance and free cash flow guidance, you have most of the pieces to model it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lag between cash spend and amortization varies a lot by content type (unscripted expenses quickly; animated films can take 2-3 years) — expect the gap to moderate over the next several years but stay elevated as we keep investing for growth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$1.5B figure cited earlier was incremental new content investment, not total cash spend or the net amortization drag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Adjusting for one-time items, expect a full-year effective tax rate of about 29%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Q8: How do you ensure you retain key WBD executives and talent through the pending combination, given you haven't closed yet?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There's nothing specific we can do given standard pre-close (“gun-jumping”) restrictions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Engagement has been very constructive — our leadership team, Zaslav's team, and business unit leaders have been actively engaged throughout integration planning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We're pleased with how planning has gone so far and everyone seems committed to a successful combination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2E74B5"/>
          <w:sz w:val="21"/>
          <w:szCs w:val="21"/>
        </w:rPr>
        <w:t xml:space="preserve">Q9: Any update on settlement talks in the antitrust litigation, particularly with California?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We remain open to engaging constructively and have reached out directly to California AG Rob Bonta's office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The magistrate recommended we pursue mediation, and we're open to that path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Absent a settlement, we're prepared to proceed to trial in March</w:t>
      </w:r>
    </w:p>
    <w:p>
      <w:pPr>
        <w:pStyle w:val="ListParagraph"/>
        <w:numPr>
          <w:ilvl w:val="0"/>
          <w:numId w:val="2"/>
        </w:numPr>
        <w:spacing w:after="80" w:line="268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 more color, they pointed to David's recent podcast appearance with Matt Belloni, which covered this in more depth</w:t>
      </w:r>
    </w:p>
    <w:p>
      <w:pPr>
        <w:pBdr>
          <w:top w:val="single" w:color="999999" w:sz="6" w:space="4"/>
        </w:pBdr>
        <w:spacing w:before="3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Source: PSKY 2Q26 sell-side callback Q&amp;A transcript, Bernstein analysis.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US MEDIA &amp; TELECOM   |   BERNSTEIN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tabs>
        <w:tab w:val="right" w:pos="1008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Laurent Yoon   +1 917 344 8502   laurent.yoon@bernsteinsg.com</w:t>
    </w:r>
    <w:r>
      <w:rPr>
        <w:rFonts w:ascii="Calibri" w:cs="Calibri" w:eastAsia="Calibri" w:hAnsi="Calibri"/>
        <w:color w:val="595959"/>
        <w:sz w:val="16"/>
        <w:szCs w:val="16"/>
      </w:rPr>
      <w:t xml:space="preserve">		4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2026-08-04T23:06:18.506Z</dcterms:created>
  <dcterms:modified xsi:type="dcterms:W3CDTF">2026-08-04T23:06:18.523Z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