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4,400 (main text, excluding tables and references); abstract about 300;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CMS estimates improper payments in Medicare Part C, Part D, Medicaid (PERM), Marketplace APTC (EIPM) and Medicare fee-for-service (CERT) from audited samples, with 95% confidence intervals required by law. The available projection methods, the analytic expansion, ratio and regression estimators and audit-finding bootstrap simulation (which assigns audited findings across the population and reruns the payment rules), have not been compared against a known truth.</w:t>
      </w:r>
    </w:p>
    <w:p>
      <w:pPr>
        <w:pStyle w:val="BodyText"/>
      </w:pPr>
      <w:r>
        <w:rPr>
          <w:bCs/>
          <w:b/>
        </w:rPr>
        <w:t xml:space="preserve">Purpose.</w:t>
      </w:r>
      <w:r>
        <w:t xml:space="preserve"> </w:t>
      </w:r>
      <w:r>
        <w:t xml:space="preserve">To answer the question: what is the comparative accuracy of the available methods for estimating improper payments in federal health programs? Accuracy means point accuracy and interval accuracy (coverage at the nominal 95%, then width).</w:t>
      </w:r>
    </w:p>
    <w:p>
      <w:pPr>
        <w:pStyle w:val="BodyText"/>
      </w:pPr>
      <w:r>
        <w:rPr>
          <w:bCs/>
          <w:b/>
        </w:rPr>
        <w:t xml:space="preserve">Methods.</w:t>
      </w:r>
      <w:r>
        <w:t xml:space="preserve"> </w:t>
      </w:r>
      <w:r>
        <w:t xml:space="preserve">We built five synthetic populations, one per program, with fabricated errors and calibrated to public FY 2025 aggregates, and drew each program’s production-like audit (990 to 37,651 units) in 25 independent audit years. We compared expansion, ratio and regression estimators with normal intervals against bootstrap simulation (1,000 iterations) with error rates held fixed at their audited values or redrawn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30 of 125 audit-years (24%), because they omit the sampling variance of the audited rates. Parametric-rate intervals contained it in 121 of 125 (96.8%; 23–25 of 25 in every program) and were 11–21% narrower than the ratio estimator’s in four programs and 63% narrower than the same-audit expansion interval in Part D. Measures built from few errors, such as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gives valid, narrower intervals, and we recommend it for PIIA improper payment rates. Its precision would permit audits roughly 20–38% smaller at current precision, reducing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OMB’s Appendix C to Circular A-123 sets out how agencies produce it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each sampled unit’s payment error by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the Department of Education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(generalized regression, GREG) calibrates to a known auxiliary such as total payments.</w:t>
      </w:r>
    </w:p>
    <w:p>
      <w:pPr>
        <w:pStyle w:val="FirstParagraph"/>
      </w:pPr>
      <w:r>
        <w:t xml:space="preserve">Their intervals rely on a central limit argument that is weakest exactly where improper payment data live. Errors are rare, zero-inflated and right-skewed, and often all-or-nothing (Neter and Loebbecke 1975; Kvanli et al. 1998; Edwards et al. 2023).</w:t>
      </w:r>
    </w:p>
    <w:p>
      <w:pPr>
        <w:pStyle w:val="BodyText"/>
      </w:pPr>
      <w:r>
        <w:t xml:space="preserve">A second family of methods simulates instead of projecting. The audit’s findings (which HCCs failed, which drug claims were wrong and by how much, which applications were ineligible) are assigned at random to the unaudited units of the whole population, and the program’s payment function is rerun. Repeating this many times gives a distribution of improper payments. We call this</w:t>
      </w:r>
      <w:r>
        <w:t xml:space="preserve"> </w:t>
      </w:r>
      <w:r>
        <w:rPr>
          <w:bCs/>
          <w:b/>
        </w:rPr>
        <w:t xml:space="preserve">audit-finding bootstrap simulation</w:t>
      </w:r>
      <w:r>
        <w:t xml:space="preserve">. Part D’s published interval is already simulation based (CMS 2023, 2025c).</w:t>
      </w:r>
    </w:p>
    <w:p>
      <w:pPr>
        <w:pStyle w:val="BodyText"/>
      </w:pPr>
      <w:r>
        <w:t xml:space="preserve">The approach is attractive for three reasons:</w:t>
      </w:r>
    </w:p>
    <w:p>
      <w:pPr>
        <w:numPr>
          <w:ilvl w:val="0"/>
          <w:numId w:val="1004"/>
        </w:numPr>
        <w:pStyle w:val="Compact"/>
      </w:pPr>
      <w:r>
        <w:rPr>
          <w:bCs/>
          <w:b/>
        </w:rPr>
        <w:t xml:space="preserve">Nonlinear payments.</w:t>
      </w:r>
      <w:r>
        <w:t xml:space="preserve"> </w:t>
      </w:r>
      <w:r>
        <w:t xml:space="preserve">It reruns the actual payment rules, so effects such as the Part D benefit phases, risk-score hierarchies and the APTC schedule are handled exactly rather than through a linear approximation.</w:t>
      </w:r>
    </w:p>
    <w:p>
      <w:pPr>
        <w:numPr>
          <w:ilvl w:val="0"/>
          <w:numId w:val="1004"/>
        </w:numPr>
        <w:pStyle w:val="Compact"/>
      </w:pPr>
      <w:r>
        <w:rPr>
          <w:bCs/>
          <w:b/>
        </w:rPr>
        <w:t xml:space="preserve">Every measure at once.</w:t>
      </w:r>
      <w:r>
        <w:t xml:space="preserve"> </w:t>
      </w:r>
      <w:r>
        <w:t xml:space="preserve">It gives over-, under-, gross and net payments, and any subgroup, from one set of iterations.</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our knowledge, the comparative accuracy of these methods, and in particular the validity of the simulation’s intervals, has not been tested against a known truth. A companion narrative review sets out each program’s design and the evidence on interval accuracy in detail (Cistola 2026).</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respect that matters. It never resamples the audit. Each iteration reuses the same audited findings, and the error rates estimated from them, so the spread across iterations reflects only which unaudited units happen to receive errors. The uncertainty in the rates themselves is not represented, and that is the uncertainty a confidence interval is meant to express: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This study asks:</w:t>
      </w:r>
      <w:r>
        <w:t xml:space="preserve"> </w:t>
      </w:r>
      <w:r>
        <w:rPr>
          <w:bCs/>
          <w:b/>
        </w:rPr>
        <w:t xml:space="preserve">what is the comparative accuracy of the available methods for estimating improper payments in federal health programs?</w:t>
      </w:r>
      <w:r>
        <w:t xml:space="preserve"> </w:t>
      </w:r>
      <w:r>
        <w:t xml:space="preserve">The methods are:</w:t>
      </w:r>
    </w:p>
    <w:p>
      <w:pPr>
        <w:numPr>
          <w:ilvl w:val="0"/>
          <w:numId w:val="1005"/>
        </w:numPr>
        <w:pStyle w:val="Compact"/>
      </w:pPr>
      <w:r>
        <w:t xml:space="preserve">the three design-based analytic estimators in use (expansion, ratio and regression);</w:t>
      </w:r>
    </w:p>
    <w:p>
      <w:pPr>
        <w:numPr>
          <w:ilvl w:val="0"/>
          <w:numId w:val="1005"/>
        </w:numPr>
        <w:pStyle w:val="Compact"/>
      </w:pPr>
      <w:r>
        <w:t xml:space="preserve">audit-finding bootstrap simulation.</w:t>
      </w:r>
    </w:p>
    <w:p>
      <w:pPr>
        <w:pStyle w:val="FirstParagraph"/>
      </w:pPr>
      <w:r>
        <w:t xml:space="preserve">Accuracy has two parts:</w:t>
      </w:r>
    </w:p>
    <w:p>
      <w:pPr>
        <w:numPr>
          <w:ilvl w:val="0"/>
          <w:numId w:val="1006"/>
        </w:numPr>
        <w:pStyle w:val="Compact"/>
      </w:pPr>
      <w:r>
        <w:rPr>
          <w:bCs/>
          <w:b/>
        </w:rPr>
        <w:t xml:space="preserve">Point accuracy:</w:t>
      </w:r>
      <w:r>
        <w:t xml:space="preserve"> </w:t>
      </w:r>
      <w:r>
        <w:t xml:space="preserve">how close the point estimate is to the true improper payment.</w:t>
      </w:r>
    </w:p>
    <w:p>
      <w:pPr>
        <w:numPr>
          <w:ilvl w:val="0"/>
          <w:numId w:val="1006"/>
        </w:numPr>
        <w:pStyle w:val="Compact"/>
      </w:pPr>
      <w:r>
        <w:rPr>
          <w:bCs/>
          <w:b/>
        </w:rPr>
        <w:t xml:space="preserve">Interval accuracy:</w:t>
      </w:r>
      <w:r>
        <w:t xml:space="preserve"> </w:t>
      </w:r>
      <w:r>
        <w:t xml:space="preserve">whether the 95% interval contains the truth in about 95% of repeated audits (coverage) and, among intervals that do, how narrow it is (width). A narrower valid interval is more accurate, because the same precision can then be bought with a smaller, cheaper audit.</w:t>
      </w:r>
    </w:p>
    <w:p>
      <w:pPr>
        <w:pStyle w:val="FirstParagraph"/>
      </w:pPr>
      <w:r>
        <w:t xml:space="preserve">The specific aims are to:</w:t>
      </w:r>
    </w:p>
    <w:p>
      <w:pPr>
        <w:numPr>
          <w:ilvl w:val="0"/>
          <w:numId w:val="1007"/>
        </w:numPr>
        <w:pStyle w:val="Compact"/>
      </w:pPr>
      <w:r>
        <w:t xml:space="preserve">measure the point and interval accuracy of each method in five synthetic populations designed after the five CMS measurements;</w:t>
      </w:r>
    </w:p>
    <w:p>
      <w:pPr>
        <w:numPr>
          <w:ilvl w:val="0"/>
          <w:numId w:val="1007"/>
        </w:numPr>
        <w:pStyle w:val="Compact"/>
      </w:pPr>
      <w:r>
        <w:t xml:space="preserve">explain any failure of the bootstrap simulation interval;</w:t>
      </w:r>
    </w:p>
    <w:p>
      <w:pPr>
        <w:numPr>
          <w:ilvl w:val="0"/>
          <w:numId w:val="1007"/>
        </w:numPr>
        <w:pStyle w:val="Compact"/>
      </w:pPr>
      <w:r>
        <w:t xml:space="preserve">test a parametric alternative that corrects it;</w:t>
      </w:r>
    </w:p>
    <w:p>
      <w:pPr>
        <w:numPr>
          <w:ilvl w:val="0"/>
          <w:numId w:val="1007"/>
        </w:numPr>
        <w:pStyle w:val="Compact"/>
      </w:pPr>
      <w:r>
        <w:t xml:space="preserve">judge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is a Monte Carlo validation study in the design of Edwards et al. (2023):</w:t>
      </w:r>
    </w:p>
    <w:p>
      <w:pPr>
        <w:numPr>
          <w:ilvl w:val="0"/>
          <w:numId w:val="1008"/>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8"/>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8"/>
        </w:numPr>
        <w:pStyle w:val="Compact"/>
      </w:pPr>
      <w:r>
        <w:rPr>
          <w:bCs/>
          <w:b/>
        </w:rPr>
        <w:t xml:space="preserve">One audit per year.</w:t>
      </w:r>
      <w:r>
        <w:t xml:space="preserve"> </w:t>
      </w:r>
      <w:r>
        <w:t xml:space="preserve">Each audit year has exactly one audit, and every method gets only that audit. The analytic methods estimate their variance from it. The bootstrap simulation assigns its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No real data are used.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Appendix B gives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exist:</w:t>
      </w:r>
    </w:p>
    <w:p>
      <w:pPr>
        <w:numPr>
          <w:ilvl w:val="0"/>
          <w:numId w:val="1009"/>
        </w:numPr>
        <w:pStyle w:val="Compact"/>
      </w:pPr>
      <w:r>
        <w:t xml:space="preserve">Part C: 6.09%; overpayments $21.43B and underpayments $2.23B.</w:t>
      </w:r>
    </w:p>
    <w:p>
      <w:pPr>
        <w:numPr>
          <w:ilvl w:val="0"/>
          <w:numId w:val="1009"/>
        </w:numPr>
        <w:pStyle w:val="Compact"/>
      </w:pPr>
      <w:r>
        <w:t xml:space="preserve">Medicaid: 6.12%.</w:t>
      </w:r>
    </w:p>
    <w:p>
      <w:pPr>
        <w:numPr>
          <w:ilvl w:val="0"/>
          <w:numId w:val="1009"/>
        </w:numPr>
        <w:pStyle w:val="Compact"/>
      </w:pPr>
      <w:r>
        <w:t xml:space="preserve">EIPM: 0.89%, of which 0.43 points was technically improper.</w:t>
      </w:r>
    </w:p>
    <w:p>
      <w:pPr>
        <w:numPr>
          <w:ilvl w:val="0"/>
          <w:numId w:val="1009"/>
        </w:numPr>
        <w:pStyle w:val="Compact"/>
      </w:pPr>
      <w:r>
        <w:t xml:space="preserve">CERT: 6.55% overall, with each of the four claim types matched.</w:t>
      </w:r>
    </w:p>
    <w:p>
      <w:pPr>
        <w:pStyle w:val="FirstParagraph"/>
      </w:pPr>
      <w:r>
        <w:t xml:space="preserve">Part D is set below its published 4.00% so that the method is tested in a lower-error regime. Strata that CMS does not publish are illustrative and labeled as such: the EIPM strata, the Part C IPM strata and CERT’s service-level strata.</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netted within the payment unit first: the enrollee, beneficiary, payment, application or claim. Then:</w:t>
      </w:r>
    </w:p>
    <w:p>
      <w:pPr>
        <w:numPr>
          <w:ilvl w:val="0"/>
          <w:numId w:val="1010"/>
        </w:numPr>
        <w:pStyle w:val="Compact"/>
      </w:pPr>
      <w:r>
        <w:t xml:space="preserve">over = Σ max(</w:t>
      </w:r>
      <w:r>
        <w:rPr>
          <w:iCs/>
          <w:i/>
        </w:rPr>
        <w:t xml:space="preserve">y</w:t>
      </w:r>
      <w:r>
        <w:t xml:space="preserve">, 0)</w:t>
      </w:r>
    </w:p>
    <w:p>
      <w:pPr>
        <w:numPr>
          <w:ilvl w:val="0"/>
          <w:numId w:val="1010"/>
        </w:numPr>
        <w:pStyle w:val="Compact"/>
      </w:pPr>
      <w:r>
        <w:t xml:space="preserve">under = Σ max(−</w:t>
      </w:r>
      <w:r>
        <w:rPr>
          <w:iCs/>
          <w:i/>
        </w:rPr>
        <w:t xml:space="preserve">y</w:t>
      </w:r>
      <w:r>
        <w:t xml:space="preserve">, 0)</w:t>
      </w:r>
    </w:p>
    <w:p>
      <w:pPr>
        <w:numPr>
          <w:ilvl w:val="0"/>
          <w:numId w:val="1010"/>
        </w:numPr>
        <w:pStyle w:val="Compact"/>
      </w:pPr>
      <w:r>
        <w:t xml:space="preserve">gross = over + under</w:t>
      </w:r>
    </w:p>
    <w:p>
      <w:pPr>
        <w:numPr>
          <w:ilvl w:val="0"/>
          <w:numId w:val="1010"/>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PERM and EIPM errors are all overpayments, so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w:t>
      </w:r>
      <w:r>
        <w:t xml:space="preserve">and</w:t>
      </w:r>
      <w:r>
        <w:t xml:space="preserve"> </w:t>
      </w:r>
      <w:r>
        <w:rPr>
          <w:iCs/>
          <w:i/>
        </w:rPr>
        <w:t xml:space="preserve">w_h = N_h/n_h</w:t>
      </w:r>
      <w:r>
        <w:t xml:space="preserve"> </w:t>
      </w:r>
      <w:r>
        <w:t xml:space="preserve">be stratum sizes and weights, and let *T̂_y = Σ_h w_h Σ y* and *T̂_x* be the weighted totals. Then:</w:t>
      </w:r>
    </w:p>
    <w:p>
      <w:pPr>
        <w:numPr>
          <w:ilvl w:val="0"/>
          <w:numId w:val="1011"/>
        </w:numPr>
        <w:pStyle w:val="Compact"/>
      </w:pPr>
      <w:r>
        <w:rPr>
          <w:bCs/>
          <w:b/>
        </w:rPr>
        <w:t xml:space="preserve">Expansion:</w:t>
      </w:r>
      <w:r>
        <w:t xml:space="preserve"> </w:t>
      </w:r>
      <w:r>
        <w:t xml:space="preserve">*θ̂ = T̂_y / X*.</w:t>
      </w:r>
    </w:p>
    <w:p>
      <w:pPr>
        <w:numPr>
          <w:ilvl w:val="0"/>
          <w:numId w:val="1011"/>
        </w:numPr>
        <w:pStyle w:val="Compact"/>
      </w:pPr>
      <w:r>
        <w:rPr>
          <w:bCs/>
          <w:b/>
        </w:rPr>
        <w:t xml:space="preserve">Ratio:</w:t>
      </w:r>
      <w:r>
        <w:t xml:space="preserve"> </w:t>
      </w:r>
      <w:r>
        <w:t xml:space="preserve">*θ̂ = T̂_y / T̂_x*.</w:t>
      </w:r>
    </w:p>
    <w:p>
      <w:pPr>
        <w:numPr>
          <w:ilvl w:val="0"/>
          <w:numId w:val="1011"/>
        </w:numPr>
        <w:pStyle w:val="Compact"/>
      </w:pPr>
      <w:r>
        <w:rPr>
          <w:bCs/>
          <w:b/>
        </w:rPr>
        <w:t xml:space="preserve">Regression (GREG):</w:t>
      </w:r>
      <w:r>
        <w:t xml:space="preserve"> </w:t>
      </w:r>
      <w:r>
        <w:rPr>
          <w:iCs/>
          <w:i/>
        </w:rPr>
        <w:t xml:space="preserve">θ̂ = [T̂_y + b(X − T̂_x)] / X</w:t>
      </w:r>
      <w:r>
        <w:t xml:space="preserve">, with</w:t>
      </w:r>
      <w:r>
        <w:t xml:space="preserve"> </w:t>
      </w:r>
      <w:r>
        <w:rPr>
          <w:iCs/>
          <w:i/>
        </w:rPr>
        <w:t xml:space="preserve">b</w:t>
      </w:r>
      <w:r>
        <w:t xml:space="preserve"> </w:t>
      </w:r>
      <w:r>
        <w:t xml:space="preserve">the weighted least-squares slope of</w:t>
      </w:r>
      <w:r>
        <w:t xml:space="preserve"> </w:t>
      </w:r>
      <w:r>
        <w:rPr>
          <w:iCs/>
          <w:i/>
        </w:rPr>
        <w:t xml:space="preserve">y</w:t>
      </w:r>
      <w:r>
        <w:t xml:space="preserve"> </w:t>
      </w:r>
      <w:r>
        <w:t xml:space="preserve">on</w:t>
      </w:r>
      <w:r>
        <w:t xml:space="preserve"> </w:t>
      </w:r>
      <w:r>
        <w:rPr>
          <w:iCs/>
          <w:i/>
        </w:rPr>
        <w:t xml:space="preserve">x</w:t>
      </w:r>
      <w:r>
        <w:t xml:space="preserve"> </w:t>
      </w:r>
      <w:r>
        <w:t xml:space="preserve">with an intercept.</w:t>
      </w:r>
    </w:p>
    <w:p>
      <w:pPr>
        <w:pStyle w:val="FirstParagraph"/>
      </w:pPr>
      <w:r>
        <w:t xml:space="preserve">Variances use the stratified-SRS formula with finite population correction on</w:t>
      </w:r>
      <w:r>
        <w:t xml:space="preserve"> </w:t>
      </w:r>
      <w:r>
        <w:rPr>
          <w:iCs/>
          <w:i/>
        </w:rPr>
        <w:t xml:space="preserve">y</w:t>
      </w:r>
      <w:r>
        <w:t xml:space="preserve">, on the ratio residual</w:t>
      </w:r>
      <w:r>
        <w:t xml:space="preserve"> </w:t>
      </w:r>
      <w:r>
        <w:rPr>
          <w:iCs/>
          <w:i/>
        </w:rPr>
        <w:t xml:space="preserve">y − θ̂x</w:t>
      </w:r>
      <w:r>
        <w:t xml:space="preserve">, or on the regression residual (Taylor linearization). Each method reports</w:t>
      </w:r>
      <w:r>
        <w:t xml:space="preserve"> </w:t>
      </w:r>
      <w:r>
        <w:rPr>
          <w:iCs/>
          <w:i/>
        </w:rPr>
        <w:t xml:space="preserve">θ̂ ± 1.96·SE</w:t>
      </w:r>
      <w:r>
        <w:t xml:space="preserve">.</w:t>
      </w:r>
    </w:p>
    <w:p>
      <w:pPr>
        <w:pStyle w:val="BodyText"/>
      </w:pPr>
      <w:r>
        <w:t xml:space="preserve">Two program-specific forms apply:</w:t>
      </w:r>
    </w:p>
    <w:p>
      <w:pPr>
        <w:numPr>
          <w:ilvl w:val="0"/>
          <w:numId w:val="1012"/>
        </w:numPr>
        <w:pStyle w:val="Compact"/>
      </w:pPr>
      <w:r>
        <w:rPr>
          <w:bCs/>
          <w:b/>
        </w:rPr>
        <w:t xml:space="preserve">Part C expansion</w:t>
      </w:r>
      <w:r>
        <w:t xml:space="preserve"> </w:t>
      </w:r>
      <w:r>
        <w:t xml:space="preserve">works in risk-score units: the mean audited over- and under-risk-score error in each tercile × the tercile’s size × the national mean county rate × months.</w:t>
      </w:r>
    </w:p>
    <w:p>
      <w:pPr>
        <w:numPr>
          <w:ilvl w:val="0"/>
          <w:numId w:val="1012"/>
        </w:numPr>
        <w:pStyle w:val="Compact"/>
      </w:pPr>
      <w:r>
        <w:rPr>
          <w:bCs/>
          <w:b/>
        </w:rPr>
        <w:t xml:space="preserve">Part D expansion</w:t>
      </w:r>
      <w:r>
        <w:t xml:space="preserve"> </w:t>
      </w:r>
      <w:r>
        <w:t xml:space="preserve">applies each stratum’s audited PDE error rate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 audit’s</w:t>
      </w:r>
      <w:r>
        <w:t xml:space="preserve"> </w:t>
      </w:r>
      <w:r>
        <w:rPr>
          <w:iCs/>
          <w:i/>
        </w:rPr>
        <w:t xml:space="preserve">n_k</w:t>
      </w:r>
      <w:r>
        <w:t xml:space="preserve"> </w:t>
      </w:r>
      <w:r>
        <w:t xml:space="preserve">audited units:</w:t>
      </w:r>
    </w:p>
    <w:p>
      <w:pPr>
        <w:numPr>
          <w:ilvl w:val="0"/>
          <w:numId w:val="1013"/>
        </w:numPr>
        <w:pStyle w:val="Compact"/>
      </w:pPr>
      <w:r>
        <w:rPr>
          <w:iCs/>
          <w:i/>
        </w:rPr>
        <w:t xml:space="preserve">f_k</w:t>
      </w:r>
      <w:r>
        <w:t xml:space="preserve"> </w:t>
      </w:r>
      <w:r>
        <w:t xml:space="preserve">of them are in error;</w:t>
      </w:r>
    </w:p>
    <w:p>
      <w:pPr>
        <w:numPr>
          <w:ilvl w:val="0"/>
          <w:numId w:val="1013"/>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it is the HCC (20 HCC failure rates and 10 family addition rates).</w:t>
      </w:r>
    </w:p>
    <w:p>
      <w:pPr>
        <w:pStyle w:val="BodyText"/>
      </w:pPr>
      <w:r>
        <w:t xml:space="preserve">In each of 1,000 iterations:</w:t>
      </w:r>
    </w:p>
    <w:p>
      <w:pPr>
        <w:numPr>
          <w:ilvl w:val="0"/>
          <w:numId w:val="1014"/>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4"/>
        </w:numPr>
        <w:pStyle w:val="Compact"/>
      </w:pPr>
      <w:r>
        <w:t xml:space="preserve">Given an error, it is partial with probability</w:t>
      </w:r>
      <w:r>
        <w:t xml:space="preserve"> </w:t>
      </w:r>
      <w:r>
        <w:rPr>
          <w:iCs/>
          <w:i/>
        </w:rPr>
        <w:t xml:space="preserve">q_k = g_k/f_k</w:t>
      </w:r>
      <w:r>
        <w:t xml:space="preserve">, with its size drawn uniformly from the audited partial sizes. Otherwise it is a whole error.</w:t>
      </w:r>
    </w:p>
    <w:p>
      <w:pPr>
        <w:numPr>
          <w:ilvl w:val="0"/>
          <w:numId w:val="1014"/>
        </w:numPr>
        <w:pStyle w:val="Compact"/>
      </w:pPr>
      <w:r>
        <w:t xml:space="preserve">Audited units keep their own findings.</w:t>
      </w:r>
    </w:p>
    <w:p>
      <w:pPr>
        <w:numPr>
          <w:ilvl w:val="0"/>
          <w:numId w:val="1014"/>
        </w:numPr>
        <w:pStyle w:val="Compact"/>
      </w:pPr>
      <w:r>
        <w:t xml:space="preserve">The payment function is rerun for every unit, and the measures are summed.</w:t>
      </w:r>
    </w:p>
    <w:p>
      <w:pPr>
        <w:pStyle w:val="FirstParagraph"/>
      </w:pPr>
      <w:r>
        <w:t xml:space="preserve">These two steps are the same as giving every unit the finding of a uniformly drawn audited donor of its kind. They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as well as a different assignment. Rates with no audited failures stay at zero: no failures are extrapolated to HCCs the audit never saw. Partial sizes are still drawn from the audited list.</w:t>
      </w:r>
    </w:p>
    <w:p>
      <w:pPr>
        <w:pStyle w:val="BodyText"/>
      </w:pPr>
      <w:r>
        <w:t xml:space="preserve">This is a parametric bootstrap of the rate parameters (Efron and Tibshirani 1993, ch. 6), applied inside the simulation. We call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It is not a Bayesian bootstrap, and it needs no prior.</w:t>
      </w:r>
    </w:p>
    <w:bookmarkEnd w:id="31"/>
    <w:bookmarkStart w:id="32" w:name="outcomes"/>
    <w:p>
      <w:pPr>
        <w:pStyle w:val="Heading3"/>
      </w:pPr>
      <w:r>
        <w:t xml:space="preserve">3.7 Outcomes</w:t>
      </w:r>
    </w:p>
    <w:p>
      <w:pPr>
        <w:pStyle w:val="FirstParagraph"/>
      </w:pPr>
      <w:r>
        <w:t xml:space="preserve">For each program, measure and method, over the 25 audit years:</w:t>
      </w:r>
    </w:p>
    <w:p>
      <w:pPr>
        <w:numPr>
          <w:ilvl w:val="0"/>
          <w:numId w:val="1015"/>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5"/>
        </w:numPr>
        <w:pStyle w:val="Compact"/>
      </w:pPr>
      <w:r>
        <w:rPr>
          <w:bCs/>
          <w:b/>
        </w:rPr>
        <w:t xml:space="preserve">Width:</w:t>
      </w:r>
      <w:r>
        <w:t xml:space="preserve"> </w:t>
      </w:r>
      <w:r>
        <w:t xml:space="preserve">the median 95% interval half-width, in percentage points of payments and in national dollars.</w:t>
      </w:r>
    </w:p>
    <w:p>
      <w:pPr>
        <w:numPr>
          <w:ilvl w:val="0"/>
          <w:numId w:val="1015"/>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For the audit-size question, we compare the parametric interval with the analytic interval from the same audit:</w:t>
      </w:r>
    </w:p>
    <w:p>
      <w:pPr>
        <w:numPr>
          <w:ilvl w:val="0"/>
          <w:numId w:val="1016"/>
        </w:numPr>
        <w:pStyle w:val="Compact"/>
      </w:pPr>
      <w:r>
        <w:t xml:space="preserve">the ratio estimator for Part C, PERM, EIPM and CERT;</w:t>
      </w:r>
    </w:p>
    <w:p>
      <w:pPr>
        <w:numPr>
          <w:ilvl w:val="0"/>
          <w:numId w:val="1016"/>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4" w:name="results"/>
    <w:p>
      <w:pPr>
        <w:pStyle w:val="Heading2"/>
      </w:pPr>
      <w:r>
        <w:t xml:space="preserve">4. Results</w:t>
      </w:r>
    </w:p>
    <w:p>
      <w:pPr>
        <w:pStyle w:val="FirstParagraph"/>
      </w:pPr>
      <w:r>
        <w:t xml:space="preserve">Table 2 gives, for each program, the gross rate’s median point estimate, median interval half-width and coverage under every method. Figures 1 and 2 summarize width and coverage. National-dollar equivalents are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6.16%</w:t>
            </w:r>
          </w:p>
        </w:tc>
        <w:tc>
          <w:tcPr/>
          <w:p>
            <w:pPr>
              <w:pStyle w:val="Compact"/>
              <w:jc w:val="left"/>
            </w:pPr>
            <w:r>
              <w:t xml:space="preserve">±1.02</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1.41%</w:t>
            </w:r>
          </w:p>
        </w:tc>
        <w:tc>
          <w:tcPr/>
          <w:p>
            <w:pPr>
              <w:pStyle w:val="Compact"/>
              <w:jc w:val="left"/>
            </w:pPr>
            <w:r>
              <w:t xml:space="preserve">±0.64</w:t>
            </w:r>
          </w:p>
        </w:tc>
        <w:tc>
          <w:tcPr/>
          <w:p>
            <w:pPr>
              <w:pStyle w:val="Compact"/>
              <w:jc w:val="left"/>
            </w:pPr>
            <w:r>
              <w:t xml:space="preserve">20/25 (1/4)</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6.04%</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6.57%</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turning to intervals, it is worth establishing what the bootstrap simulation does well. Its point estimate is at least as accurate as the best analytic estimator in every program: it ties in Part C and is more accurate in the other four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5.5%</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gap reflects the benefit. A PDE error changes Medicare’s liability by an amount that depends on where the beneficiary sits in the benefit, and only rerunning the benefit captures it. Expansion’s stratum-average rates run 5.7% low.</w:t>
      </w:r>
    </w:p>
    <w:p>
      <w:pPr>
        <w:pStyle w:val="BodyText"/>
      </w:pPr>
      <w:r>
        <w:t xml:space="preserve">The fixed and parametric versions give the same point estimate to within 0.2 percentage points of relative error, because the binomial redraw is centered on the audited rates. Signed errors are within ±1% of the truth for the bootstrap in every program except EIPM.</w:t>
      </w:r>
    </w:p>
    <w:p>
      <w:pPr>
        <w:pStyle w:val="BodyText"/>
      </w:pPr>
      <w:r>
        <w:t xml:space="preserve">In EIPM every method runs 5–8% low. Technically improper errors are rare (about 9 per audit) and large (the whole APTC), so in most audit years the sample holds fewer than the expected number and the median estimate falls below the mean. This is a small-sample property of the data, not of any one method. The bootstrap’s further 2–3% shortfall in EIPM comes from moving a monetary error’s income ratio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6.7% (+1.1%)</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23.9% (+1.9%)</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5.5% (-1.3%)</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17.6% (-5.6%)</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(+0.6%)</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analytic interval’s from the same audit (Table 4), and it contains the true gross rate in only 3 to 10 of 25 audit years (Figure 2). The misses fall on both sides about equally: in Part C, 12 intervals lie entirely above the truth and 10 entirely below. So the problem is not bias.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Write the true sampling variance of an estimated improper total</w:t>
      </w:r>
      <w:r>
        <w:t xml:space="preserve"> </w:t>
      </w:r>
      <w:r>
        <w:rPr>
          <w:iCs/>
          <w:i/>
        </w:rPr>
        <w:t xml:space="preserve">T̂</w:t>
      </w:r>
      <w:r>
        <w:t xml:space="preserve"> </w:t>
      </w:r>
      <w:r>
        <w:t xml:space="preserve">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Its spread therefore estimates only the first term, the</w:t>
      </w:r>
      <w:r>
        <w:t xml:space="preserve"> </w:t>
      </w:r>
      <w:r>
        <w:rPr>
          <w:iCs/>
          <w:i/>
        </w:rPr>
        <w:t xml:space="preserve">reassignment</w:t>
      </w:r>
      <w:r>
        <w:t xml:space="preserve"> </w:t>
      </w:r>
      <w:r>
        <w:t xml:space="preserve">variance. That term grows with the population size</w:t>
      </w:r>
      <w:r>
        <w:t xml:space="preserve"> </w:t>
      </w:r>
      <w:r>
        <w:rPr>
          <w:iCs/>
          <w:i/>
        </w:rPr>
        <w:t xml:space="preserve">N</w:t>
      </w:r>
      <w:r>
        <w:t xml:space="preserve">, roughly</w:t>
      </w:r>
      <w:r>
        <w:t xml:space="preserve"> </w:t>
      </w:r>
      <w:r>
        <w:rPr>
          <w:iCs/>
          <w:i/>
        </w:rPr>
        <w:t xml:space="preserve">N p(1 − p)</w:t>
      </w:r>
      <w:r>
        <w:t xml:space="preserve"> </w:t>
      </w:r>
      <w:r>
        <w:t xml:space="preserve">times the mean squared error size. The second term is the variance of the rates themselves across possible audits, the term a confidence interval exists to express. It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7"/>
        </w:numPr>
        <w:pStyle w:val="Compact"/>
      </w:pPr>
      <w:r>
        <w:rPr>
          <w:bCs/>
          <w:b/>
        </w:rPr>
        <w:t xml:space="preserve">CERT:</w:t>
      </w:r>
      <w:r>
        <w:t xml:space="preserve"> </w:t>
      </w:r>
      <w:r>
        <w:t xml:space="preserve">inpatient claims are sampled at 22%, which inflates the reassignment term there.</w:t>
      </w:r>
    </w:p>
    <w:p>
      <w:pPr>
        <w:numPr>
          <w:ilvl w:val="0"/>
          <w:numId w:val="1017"/>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comes close to the analytic width.</w:t>
      </w:r>
    </w:p>
    <w:p>
      <w:pPr>
        <w:pStyle w:val="BodyText"/>
      </w:pPr>
      <w:r>
        <w:t xml:space="preserve">More iterations do not help. They estimate the reassignment spread more precisely; they do not add the missing term. The interval also gets</w:t>
      </w:r>
      <w:r>
        <w:t xml:space="preserve"> </w:t>
      </w:r>
      <w:r>
        <w:rPr>
          <w:iCs/>
          <w:i/>
        </w:rPr>
        <w:t xml:space="preserve">narrower</w:t>
      </w:r>
      <w:r>
        <w:t xml:space="preserve"> </w:t>
      </w:r>
      <w:r>
        <w:t xml:space="preserve">as the population grows relative to the audit,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as well as plausible assignments.</w:t>
      </w:r>
    </w:p>
    <w:p>
      <w:pPr>
        <w:pStyle w:val="BodyText"/>
      </w:pPr>
      <w:r>
        <w:t xml:space="preserve">The change restores coverage of the gross rate in every program: 24, 25, 24, 23 and 25 of 25 audit years for Part C, Part D, PERM, EIPM and CERT. That is 121 of 125 audit-years in all (96.8%), against 30 of 125 (24%) with fixed rates. No parametric interval for the gross rate lay entirely above the truth; the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They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18–20/25</w:t>
            </w:r>
          </w:p>
        </w:tc>
      </w:tr>
    </w:tbl>
    <w:p>
      <w:pPr>
        <w:pStyle w:val="BodyText"/>
      </w:pPr>
      <w:r>
        <w:t xml:space="preserve">In dollars (Appendix Table C1):</w:t>
      </w:r>
    </w:p>
    <w:p>
      <w:pPr>
        <w:numPr>
          <w:ilvl w:val="0"/>
          <w:numId w:val="1018"/>
        </w:numPr>
        <w:pStyle w:val="Compact"/>
      </w:pPr>
      <w:r>
        <w:rPr>
          <w:bCs/>
          <w:b/>
        </w:rPr>
        <w:t xml:space="preserve">PERM:</w:t>
      </w:r>
      <w:r>
        <w:t xml:space="preserve"> </w:t>
      </w:r>
      <w:r>
        <w:t xml:space="preserve">the parametric interval is ±$0.90B around a median $8.46B, against ±$1.13B for the ratio estimator.</w:t>
      </w:r>
    </w:p>
    <w:p>
      <w:pPr>
        <w:numPr>
          <w:ilvl w:val="0"/>
          <w:numId w:val="1018"/>
        </w:numPr>
        <w:pStyle w:val="Compact"/>
      </w:pPr>
      <w:r>
        <w:rPr>
          <w:bCs/>
          <w:b/>
        </w:rPr>
        <w:t xml:space="preserve">CERT:</w:t>
      </w:r>
      <w:r>
        <w:t xml:space="preserve"> </w:t>
      </w:r>
      <w:r>
        <w:t xml:space="preserve">±$1.24B around $28.81B, against ±$1.57B.</w:t>
      </w:r>
    </w:p>
    <w:p>
      <w:pPr>
        <w:numPr>
          <w:ilvl w:val="0"/>
          <w:numId w:val="1018"/>
        </w:numPr>
        <w:pStyle w:val="Compact"/>
      </w:pPr>
      <w:r>
        <w:rPr>
          <w:bCs/>
          <w:b/>
        </w:rPr>
        <w:t xml:space="preserve">Part C:</w:t>
      </w:r>
      <w:r>
        <w:t xml:space="preserve"> </w:t>
      </w:r>
      <w:r>
        <w:t xml:space="preserve">±$3.57B around $23.62B, against ±$4.02B.</w:t>
      </w:r>
    </w:p>
    <w:p>
      <w:pPr>
        <w:pStyle w:val="FirstParagraph"/>
      </w:pPr>
      <w:r>
        <w:t xml:space="preserve">The width gain has two sources:</w:t>
      </w:r>
    </w:p>
    <w:p>
      <w:pPr>
        <w:numPr>
          <w:ilvl w:val="0"/>
          <w:numId w:val="1019"/>
        </w:numPr>
        <w:pStyle w:val="Compact"/>
      </w:pPr>
      <w:r>
        <w:rPr>
          <w:bCs/>
          <w:b/>
        </w:rPr>
        <w:t xml:space="preserve">The population’s known structure.</w:t>
      </w:r>
      <w:r>
        <w:t xml:space="preserve"> </w:t>
      </w:r>
      <w:r>
        <w:t xml:space="preserve">The simulation reruns the payment function over every unit’s known payment, HCCs, benefit position or APTC inputs. It is therefore a model-assisted estimator that uses the full population’s auxiliary information, where the ratio estimator uses only total payments.</w:t>
      </w:r>
    </w:p>
    <w:p>
      <w:pPr>
        <w:numPr>
          <w:ilvl w:val="0"/>
          <w:numId w:val="1019"/>
        </w:numPr>
        <w:pStyle w:val="Compact"/>
      </w:pPr>
      <w:r>
        <w:rPr>
          <w:bCs/>
          <w:b/>
        </w:rPr>
        <w:t xml:space="preserve">The partial-size list is held fixed.</w:t>
      </w:r>
      <w:r>
        <w:t xml:space="preserve"> </w:t>
      </w:r>
      <w:r>
        <w:t xml:space="preserve">The audited list of partial error sizes is reused rather than resampled, which leaves out some uncertainty in error size. The coverage results suggest this omission is small for the gross rate, but it is a reason to extend the method (Section 6).</w:t>
      </w:r>
    </w:p>
    <w:p>
      <w:pPr>
        <w:pStyle w:val="FirstParagraph"/>
      </w:pPr>
      <w:r>
        <w:t xml:space="preserve">The Part D gain is largest and the least certain. The only analytic method on the same PDE audit is expansion. Its delta-method interval is wide and its point estimate runs low, so the 37%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Coverage of every reported measure is in Table 5.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20/25 (1/4)</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23/25 (2/0)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20"/>
        </w:numPr>
        <w:pStyle w:val="Compact"/>
      </w:pPr>
      <w:r>
        <w:rPr>
          <w:bCs/>
          <w:b/>
        </w:rPr>
        <w:t xml:space="preserve">Part C:</w:t>
      </w:r>
      <w:r>
        <w:t xml:space="preserve"> </w:t>
      </w:r>
      <w:r>
        <w:t xml:space="preserve">overpayments 24/25 and net 24/25.</w:t>
      </w:r>
    </w:p>
    <w:p>
      <w:pPr>
        <w:numPr>
          <w:ilvl w:val="0"/>
          <w:numId w:val="1020"/>
        </w:numPr>
        <w:pStyle w:val="Compact"/>
      </w:pPr>
      <w:r>
        <w:rPr>
          <w:bCs/>
          <w:b/>
        </w:rPr>
        <w:t xml:space="preserve">Part D:</w:t>
      </w:r>
      <w:r>
        <w:t xml:space="preserve"> </w:t>
      </w:r>
      <w:r>
        <w:t xml:space="preserve">overpayments 25/25 and net 24/25.</w:t>
      </w:r>
    </w:p>
    <w:p>
      <w:pPr>
        <w:numPr>
          <w:ilvl w:val="0"/>
          <w:numId w:val="1020"/>
        </w:numPr>
        <w:pStyle w:val="Compact"/>
      </w:pPr>
      <w:r>
        <w:rPr>
          <w:bCs/>
          <w:b/>
        </w:rPr>
        <w:t xml:space="preserve">PERM:</w:t>
      </w:r>
      <w:r>
        <w:t xml:space="preserve"> </w:t>
      </w:r>
      <w:r>
        <w:t xml:space="preserve">eligibility 24/25 (analytic 21/25) and claims 23/25.</w:t>
      </w:r>
    </w:p>
    <w:p>
      <w:pPr>
        <w:numPr>
          <w:ilvl w:val="0"/>
          <w:numId w:val="1020"/>
        </w:numPr>
        <w:pStyle w:val="Compact"/>
      </w:pPr>
      <w:r>
        <w:rPr>
          <w:bCs/>
          <w:b/>
        </w:rPr>
        <w:t xml:space="preserve">EIPM:</w:t>
      </w:r>
      <w:r>
        <w:t xml:space="preserve"> </w:t>
      </w:r>
      <w:r>
        <w:t xml:space="preserve">monetary 22/25.</w:t>
      </w:r>
    </w:p>
    <w:p>
      <w:pPr>
        <w:numPr>
          <w:ilvl w:val="0"/>
          <w:numId w:val="1020"/>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interval lies under the truth in audit years whose sample happened to contain few of the rare errors. This is the zero-inflated, right-skewed regime in which normal-theory intervals are known to fail (Kvanli et al. 1998; Hesterberg 2015). The parametric bootstrap does not escape it, because a binomial redraw centered on a low audited rate stays low. The gross rate is protected because the sparse component is a small share of it.</w:t>
      </w:r>
    </w:p>
    <w:bookmarkEnd w:id="43"/>
    <w:bookmarkEnd w:id="44"/>
    <w:bookmarkStart w:id="49" w:name="discussion"/>
    <w:p>
      <w:pPr>
        <w:pStyle w:val="Heading2"/>
      </w:pPr>
      <w:r>
        <w:t xml:space="preserve">5. Discussion</w:t>
      </w:r>
    </w:p>
    <w:bookmarkStart w:id="45"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gave point estimates as accurate as, or more accurate than, the expansion, ratio and regression estimators. Its fixed-rate interval, however, was invalid in every program, covering the truth in 24% of audit years where 95% was intended. The failure is not a tuning problem. Because the audit is never resampled, the interval measures only how the audited rates scatter across the population, not how much those rates would change with a different audit. Its width shrinks toward zero as the population grows. Any production use of a fixed-rate audit-finding simulation for PIIA intervals should therefore be reviewed.</w:t>
      </w:r>
    </w:p>
    <w:p>
      <w:pPr>
        <w:pStyle w:val="BodyText"/>
      </w:pPr>
      <w:r>
        <w:t xml:space="preserve">Redrawing the rates from their binomial sampling distribution before each iteration fixes the interval with a change of a few lines of code and no additional review. It covered the true gross rate in 96.8% of audit years. Its intervals were 11–21% narrower than the ratio estimator’s in four programs, and much narrower than expansion’s in Part D.</w:t>
      </w:r>
    </w:p>
    <w:bookmarkEnd w:id="45"/>
    <w:bookmarkStart w:id="46" w:name="recommendation"/>
    <w:p>
      <w:pPr>
        <w:pStyle w:val="Heading3"/>
      </w:pPr>
      <w:r>
        <w:t xml:space="preserve">5.2 Recommendation</w:t>
      </w:r>
    </w:p>
    <w:p>
      <w:pPr>
        <w:pStyle w:val="FirstParagraph"/>
      </w:pPr>
      <w:r>
        <w:t xml:space="preserve">We recommend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or regression interval reported alongside during a transition period. The recommendation rests on three findings:</w:t>
      </w:r>
    </w:p>
    <w:p>
      <w:pPr>
        <w:numPr>
          <w:ilvl w:val="0"/>
          <w:numId w:val="1021"/>
        </w:numPr>
        <w:pStyle w:val="Compact"/>
      </w:pPr>
      <w:r>
        <w:rPr>
          <w:bCs/>
          <w:b/>
        </w:rPr>
        <w:t xml:space="preserve">Validity:</w:t>
      </w:r>
      <w:r>
        <w:t xml:space="preserve"> </w:t>
      </w:r>
      <w:r>
        <w:t xml:space="preserve">coverage at the nominal level for the gross rate in every program.</w:t>
      </w:r>
    </w:p>
    <w:p>
      <w:pPr>
        <w:numPr>
          <w:ilvl w:val="0"/>
          <w:numId w:val="1021"/>
        </w:numPr>
        <w:pStyle w:val="Compact"/>
      </w:pPr>
      <w:r>
        <w:rPr>
          <w:bCs/>
          <w:b/>
        </w:rPr>
        <w:t xml:space="preserve">Accuracy:</w:t>
      </w:r>
      <w:r>
        <w:t xml:space="preserve"> </w:t>
      </w:r>
      <w:r>
        <w:t xml:space="preserve">the most accurate point estimates of the methods studied.</w:t>
      </w:r>
    </w:p>
    <w:p>
      <w:pPr>
        <w:numPr>
          <w:ilvl w:val="0"/>
          <w:numId w:val="1021"/>
        </w:numPr>
        <w:pStyle w:val="Compact"/>
      </w:pPr>
      <w:r>
        <w:rPr>
          <w:bCs/>
          <w:b/>
        </w:rPr>
        <w:t xml:space="preserve">Precision:</w:t>
      </w:r>
      <w:r>
        <w:t xml:space="preserve"> </w:t>
      </w:r>
      <w:r>
        <w:t xml:space="preserve">narrower intervals than the analytic methods from the same audit.</w:t>
      </w:r>
    </w:p>
    <w:p>
      <w:pPr>
        <w:pStyle w:val="FirstParagraph"/>
      </w:pPr>
      <w:r>
        <w:t xml:space="preserve">Precision is where the cost case lies. A narrower interval at the same coverage means the current precision can be reached with fewer records reviewed. If width scales with 1/√</w:t>
      </w:r>
      <w:r>
        <w:rPr>
          <w:iCs/>
          <w:i/>
        </w:rPr>
        <w:t xml:space="preserve">n</w:t>
      </w:r>
      <w:r>
        <w:t xml:space="preserve">, the parametric method would match the analytic interval’s current width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That is a 20–38% reduction in medical record and eligibility reviews, which dominate the cost of each measurement. Part D’s projected reduction is larger still but rests on a weaker comparator (Section 4.3).</w:t>
      </w:r>
    </w:p>
    <w:p>
      <w:pPr>
        <w:pStyle w:val="BodyText"/>
      </w:pPr>
      <w:r>
        <w:t xml:space="preserve">These figures are projections, not demonstrated results, and they apply to the gross rate. Two conditions should precede any reduction:</w:t>
      </w:r>
    </w:p>
    <w:p>
      <w:pPr>
        <w:numPr>
          <w:ilvl w:val="0"/>
          <w:numId w:val="1022"/>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2"/>
        </w:numPr>
        <w:pStyle w:val="Compact"/>
      </w:pPr>
      <w:r>
        <w:rPr>
          <w:bCs/>
          <w:b/>
        </w:rPr>
        <w:t xml:space="preserve">Protect sparse components.</w:t>
      </w:r>
      <w:r>
        <w:t xml:space="preserve"> </w:t>
      </w:r>
      <w:r>
        <w:t xml:space="preserve">Components that CMS reports separately and that rest on few errors (underpayments, technically improper payments) need their own precision check, because their coverage was already below nominal under every method.</w:t>
      </w:r>
    </w:p>
    <w:bookmarkEnd w:id="46"/>
    <w:bookmarkStart w:id="47"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so it can be written into a Sampling and Estimation Methodology Plan and tested by an Inspector General with the same census check used here: auditing every unit must return the true rate exactly. Rates with no audited failures stay at zero, a conservative choice that keeps the simulation from inventing errors the audit never observed.</w:t>
      </w:r>
    </w:p>
    <w:bookmarkEnd w:id="47"/>
    <w:bookmarkStart w:id="48" w:name="limitations"/>
    <w:p>
      <w:pPr>
        <w:pStyle w:val="Heading3"/>
      </w:pPr>
      <w:r>
        <w:t xml:space="preserve">5.4 Limitations</w:t>
      </w:r>
    </w:p>
    <w:p>
      <w:pPr>
        <w:numPr>
          <w:ilvl w:val="0"/>
          <w:numId w:val="1023"/>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3"/>
        </w:numPr>
        <w:pStyle w:val="Compact"/>
      </w:pPr>
      <w:r>
        <w:rPr>
          <w:bCs/>
          <w:b/>
        </w:rPr>
        <w:t xml:space="preserve">Synthetic populations.</w:t>
      </w:r>
      <w:r>
        <w:t xml:space="preserve"> </w:t>
      </w:r>
      <w:r>
        <w:t xml:space="preserve">The populations are synthetic and calibrated only to public aggregates:</w:t>
      </w:r>
    </w:p>
    <w:p>
      <w:pPr>
        <w:numPr>
          <w:ilvl w:val="1"/>
          <w:numId w:val="1024"/>
        </w:numPr>
        <w:pStyle w:val="Compact"/>
      </w:pPr>
      <w:r>
        <w:t xml:space="preserve">Error mechanisms, partial-error shares and the independence of errors from payment size within strata are assumptions.</w:t>
      </w:r>
    </w:p>
    <w:p>
      <w:pPr>
        <w:numPr>
          <w:ilvl w:val="1"/>
          <w:numId w:val="1024"/>
        </w:numPr>
        <w:pStyle w:val="Compact"/>
      </w:pPr>
      <w:r>
        <w:t xml:space="preserve">Strata the agencies do not publish (EIPM, Part C IPM, CERT service-level strata) are illustrative.</w:t>
      </w:r>
    </w:p>
    <w:p>
      <w:pPr>
        <w:numPr>
          <w:ilvl w:val="1"/>
          <w:numId w:val="1024"/>
        </w:numPr>
        <w:pStyle w:val="Compact"/>
      </w:pPr>
      <w:r>
        <w:t xml:space="preserve">MAC jurisdictions and the CERT Part A-to-B rebilling adjustment are not modeled.</w:t>
      </w:r>
    </w:p>
    <w:p>
      <w:pPr>
        <w:numPr>
          <w:ilvl w:val="0"/>
          <w:numId w:val="1023"/>
        </w:numPr>
        <w:pStyle w:val="Compact"/>
      </w:pPr>
      <w:r>
        <w:rPr>
          <w:bCs/>
          <w:b/>
        </w:rPr>
        <w:t xml:space="preserve">Perfect review.</w:t>
      </w:r>
      <w:r>
        <w:t xml:space="preserve"> </w:t>
      </w:r>
      <w:r>
        <w:t xml:space="preserve">Review is assumed error-free and final, with no appeals.</w:t>
      </w:r>
    </w:p>
    <w:p>
      <w:pPr>
        <w:numPr>
          <w:ilvl w:val="0"/>
          <w:numId w:val="1023"/>
        </w:numPr>
        <w:pStyle w:val="Compact"/>
      </w:pPr>
      <w:r>
        <w:rPr>
          <w:bCs/>
          <w:b/>
        </w:rPr>
        <w:t xml:space="preserve">Part D design differences.</w:t>
      </w:r>
      <w:r>
        <w:t xml:space="preserve"> </w:t>
      </w:r>
      <w:r>
        <w:t xml:space="preserve">Part D’s analytic comparators use a different audit (990 beneficiaries) or a different interval construction (delta method), so its comparisons mix design and estimator.</w:t>
      </w:r>
    </w:p>
    <w:p>
      <w:pPr>
        <w:numPr>
          <w:ilvl w:val="0"/>
          <w:numId w:val="1023"/>
        </w:numPr>
        <w:pStyle w:val="Compact"/>
      </w:pPr>
      <w:r>
        <w:rPr>
          <w:bCs/>
          <w:b/>
        </w:rPr>
        <w:t xml:space="preserve">Fixed error sizes.</w:t>
      </w:r>
      <w:r>
        <w:t xml:space="preserve"> </w:t>
      </w:r>
      <w:r>
        <w:t xml:space="preserve">The parametric version does not resample the distribution of error sizes. Coverage suggests this matters little for the gross rate, but it may contribute to the undercoverage of sparse components.</w:t>
      </w:r>
    </w:p>
    <w:p>
      <w:pPr>
        <w:numPr>
          <w:ilvl w:val="0"/>
          <w:numId w:val="1023"/>
        </w:numPr>
        <w:pStyle w:val="Compact"/>
      </w:pPr>
      <w:r>
        <w:rPr>
          <w:bCs/>
          <w:b/>
        </w:rPr>
        <w:t xml:space="preserve">Scope.</w:t>
      </w:r>
      <w:r>
        <w:t xml:space="preserve"> </w:t>
      </w:r>
      <w:r>
        <w:t xml:space="preserve">The study addresses two-sided PIIA rate intervals. Recovery uses rely on one-sided lower bounds, which were not tested.</w:t>
      </w:r>
    </w:p>
    <w:bookmarkEnd w:id="48"/>
    <w:bookmarkEnd w:id="49"/>
    <w:bookmarkStart w:id="50" w:name="future-research"/>
    <w:p>
      <w:pPr>
        <w:pStyle w:val="Heading2"/>
      </w:pPr>
      <w:r>
        <w:t xml:space="preserve">6. Future research</w:t>
      </w:r>
    </w:p>
    <w:p>
      <w:pPr>
        <w:numPr>
          <w:ilvl w:val="0"/>
          <w:numId w:val="1025"/>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The direct test is to rerun each program’s design at reduced audit sizes (for example 50%, 65% and 80% of current) with at least 200 audit years. This would find the smallest audit at which the parametric interval still covers the truth in 95% of audit years for the gross rate and for the components CMS reports. Allocation should be reconsidered at the same time. Neyman allocation minimizes the variance of the analytic estimator, not of the simulation. The cost of review differs by stratum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5"/>
        </w:numPr>
        <w:pStyle w:val="Compact"/>
      </w:pPr>
      <w:r>
        <w:rPr>
          <w:bCs/>
          <w:b/>
        </w:rPr>
        <w:t xml:space="preserve">Model + simulation alternatives.</w:t>
      </w:r>
      <w:r>
        <w:t xml:space="preserve"> </w:t>
      </w:r>
      <w:r>
        <w:t xml:space="preserve">The parametric version models only the rates. Several extensions are natural:</w:t>
      </w:r>
    </w:p>
    <w:p>
      <w:pPr>
        <w:numPr>
          <w:ilvl w:val="1"/>
          <w:numId w:val="1026"/>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instead of a fixed zero. Their posterior predictive draws would replace the binomial redraw.</w:t>
      </w:r>
    </w:p>
    <w:p>
      <w:pPr>
        <w:numPr>
          <w:ilvl w:val="1"/>
          <w:numId w:val="1026"/>
        </w:numPr>
        <w:pStyle w:val="Compact"/>
      </w:pPr>
      <w:r>
        <w:rPr>
          <w:bCs/>
          <w:b/>
        </w:rPr>
        <w:t xml:space="preserve">Unit-level error models.</w:t>
      </w:r>
      <w:r>
        <w:t xml:space="preserve"> </w:t>
      </w:r>
      <w:r>
        <w:t xml:space="preserve">Logistic or zero-inflated regression of error probability and error size on unit features (payment amount, provider type, drug class, HCC count) would feed the simulation. This model-assisted microsimulation would use the full population’s auxiliary data and could narrow intervals further where the features predict error.</w:t>
      </w:r>
    </w:p>
    <w:p>
      <w:pPr>
        <w:numPr>
          <w:ilvl w:val="1"/>
          <w:numId w:val="1026"/>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6"/>
        </w:numPr>
        <w:pStyle w:val="Compact"/>
      </w:pPr>
      <w:r>
        <w:rPr>
          <w:bCs/>
          <w:b/>
        </w:rPr>
        <w:t xml:space="preserve">Calibrated intervals.</w:t>
      </w:r>
      <w:r>
        <w:t xml:space="preserve"> </w:t>
      </w:r>
      <w:r>
        <w:t xml:space="preserve">BCa or double-bootstrap calibration could be applied to the iteration distribution to correct remaining tail imbalance in sparse components (Efron 1987; Hall 1988).</w:t>
      </w:r>
    </w:p>
    <w:p>
      <w:pPr>
        <w:numPr>
          <w:ilvl w:val="0"/>
          <w:numId w:val="1025"/>
        </w:numPr>
        <w:pStyle w:val="Compact"/>
      </w:pPr>
      <w:r>
        <w:rPr>
          <w:bCs/>
          <w:b/>
        </w:rPr>
        <w:t xml:space="preserve">Settings beyond the PIIA national rate.</w:t>
      </w:r>
      <w:r>
        <w:t xml:space="preserve"> </w:t>
      </w:r>
      <w:r>
        <w:t xml:space="preserve">The study can be extended to:</w:t>
      </w:r>
    </w:p>
    <w:p>
      <w:pPr>
        <w:numPr>
          <w:ilvl w:val="1"/>
          <w:numId w:val="1027"/>
        </w:numPr>
        <w:pStyle w:val="Compact"/>
      </w:pPr>
      <w:r>
        <w:t xml:space="preserve">state-level PERM eligibility rates, which carry federal match consequences from FY 2030 (P.L. 119-21);</w:t>
      </w:r>
    </w:p>
    <w:p>
      <w:pPr>
        <w:numPr>
          <w:ilvl w:val="1"/>
          <w:numId w:val="1027"/>
        </w:numPr>
        <w:pStyle w:val="Compact"/>
      </w:pPr>
      <w:r>
        <w:t xml:space="preserve">State-based Exchange measurement from 2027;</w:t>
      </w:r>
    </w:p>
    <w:p>
      <w:pPr>
        <w:numPr>
          <w:ilvl w:val="1"/>
          <w:numId w:val="1027"/>
        </w:numPr>
        <w:pStyle w:val="Compact"/>
      </w:pPr>
      <w:r>
        <w:t xml:space="preserve">contract-level RADV, where the interval becomes a lower bound for recovery and one-sided coverage matters.</w:t>
      </w:r>
    </w:p>
    <w:p>
      <w:pPr>
        <w:numPr>
          <w:ilvl w:val="0"/>
          <w:numId w:val="1025"/>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the share of partial errors and whether error probability depends on payment size, which this study assumes away within strata.</w:t>
      </w:r>
    </w:p>
    <w:bookmarkEnd w:id="50"/>
    <w:bookmarkStart w:id="51"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the audit is never resampled, so the interval omits the sampling error of the rates. Redrawing the rates from their binomial sampling distribution before each iteration restores nominal coverage for the gross rate in every program. Those intervals are also narrower than the analytic intervals from the same audit in all five programs: 11–21% narrower than the ratio estimator in four, and much narrower than expansion in Part D. We recommend parametric-rate bootstrap simulation for improper payment rate estimation. Its precision gain gives CMS room to reduce audit sizes, and with them review costs, without losing accuracy, subject to direct confirmation at the reduced sizes.</w:t>
      </w:r>
    </w:p>
    <w:bookmarkEnd w:id="51"/>
    <w:bookmarkStart w:id="53"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in the public repository</w:t>
      </w:r>
      <w:r>
        <w:t xml:space="preserve"> </w:t>
      </w:r>
      <w:hyperlink r:id="rId52">
        <w:r>
          <w:rPr>
            <w:rStyle w:val="Hyperlink"/>
          </w:rPr>
          <w:t xml:space="preserve">andrewcistola/comparing-improper-payment-estimators</w:t>
        </w:r>
      </w:hyperlink>
      <w:r>
        <w:t xml:space="preserve">. The repository contains no protected health information, no unit-level data from any source and no non-public CMS material.</w:t>
      </w:r>
    </w:p>
    <w:bookmarkEnd w:id="53"/>
    <w:bookmarkStart w:id="54"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4"/>
    <w:bookmarkStart w:id="55" w:name="references"/>
    <w:p>
      <w:pPr>
        <w:pStyle w:val="Heading2"/>
      </w:pPr>
      <w:r>
        <w:t xml:space="preserve">References</w:t>
      </w:r>
    </w:p>
    <w:p>
      <w:pPr>
        <w:numPr>
          <w:ilvl w:val="0"/>
          <w:numId w:val="1028"/>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8"/>
        </w:numPr>
        <w:pStyle w:val="Compact"/>
      </w:pPr>
      <w:r>
        <w:t xml:space="preserve">CMS (2023). FY 2023 Medicare Part D Error Rate Findings and Results. Centers for Medicare &amp; Medicaid Services.</w:t>
      </w:r>
    </w:p>
    <w:p>
      <w:pPr>
        <w:numPr>
          <w:ilvl w:val="0"/>
          <w:numId w:val="1028"/>
        </w:numPr>
        <w:pStyle w:val="Compact"/>
      </w:pPr>
      <w:r>
        <w:t xml:space="preserve">CMS (2025a). Fiscal Year 2025 Improper Payments Fact Sheet. Centers for Medicare &amp; Medicaid Services.</w:t>
      </w:r>
    </w:p>
    <w:p>
      <w:pPr>
        <w:numPr>
          <w:ilvl w:val="0"/>
          <w:numId w:val="1028"/>
        </w:numPr>
        <w:pStyle w:val="Compact"/>
      </w:pPr>
      <w:r>
        <w:t xml:space="preserve">CMS (2025b). 2025 Medicare Fee-for-Service Supplemental Improper Payment Data. Centers for Medicare &amp; Medicaid Services.</w:t>
      </w:r>
    </w:p>
    <w:p>
      <w:pPr>
        <w:numPr>
          <w:ilvl w:val="0"/>
          <w:numId w:val="1028"/>
        </w:numPr>
        <w:pStyle w:val="Compact"/>
      </w:pPr>
      <w:r>
        <w:t xml:space="preserve">CMS (2025c). FY 2025 Medicare Part D Error Rate Findings and Results. Centers for Medicare &amp; Medicaid Services.</w:t>
      </w:r>
    </w:p>
    <w:p>
      <w:pPr>
        <w:numPr>
          <w:ilvl w:val="0"/>
          <w:numId w:val="1028"/>
        </w:numPr>
        <w:pStyle w:val="Compact"/>
      </w:pPr>
      <w:r>
        <w:t xml:space="preserve">CMS (2025d). FY 2025 Medicare Part C Error Rate Findings and Results. Centers for Medicare &amp; Medicaid Services.</w:t>
      </w:r>
    </w:p>
    <w:p>
      <w:pPr>
        <w:numPr>
          <w:ilvl w:val="0"/>
          <w:numId w:val="1028"/>
        </w:numPr>
        <w:pStyle w:val="Compact"/>
      </w:pPr>
      <w:r>
        <w:t xml:space="preserve">CMS (2026a). Exchange Improper Payment Measurement: Program Background and Improper Payment Findings. Centers for Medicare &amp; Medicaid Services.</w:t>
      </w:r>
    </w:p>
    <w:p>
      <w:pPr>
        <w:numPr>
          <w:ilvl w:val="0"/>
          <w:numId w:val="1028"/>
        </w:numPr>
        <w:pStyle w:val="Compact"/>
      </w:pPr>
      <w:r>
        <w:t xml:space="preserve">CMS (2026b). Medicare Fee-for-Service Comprehensive Error Rate Testing (CERT) Methodology. Centers for Medicare &amp; Medicaid Services.</w:t>
      </w:r>
    </w:p>
    <w:p>
      <w:pPr>
        <w:numPr>
          <w:ilvl w:val="0"/>
          <w:numId w:val="1028"/>
        </w:numPr>
        <w:pStyle w:val="Compact"/>
      </w:pPr>
      <w:r>
        <w:t xml:space="preserve">CMS (2024). Payment Error Rate Measurement, Supporting Statement Part B (OMB ICR 202408-0938-026).</w:t>
      </w:r>
    </w:p>
    <w:p>
      <w:pPr>
        <w:numPr>
          <w:ilvl w:val="0"/>
          <w:numId w:val="1028"/>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28"/>
        </w:numPr>
        <w:pStyle w:val="Compact"/>
      </w:pPr>
      <w:r>
        <w:t xml:space="preserve">Cochran WG (1977).</w:t>
      </w:r>
      <w:r>
        <w:t xml:space="preserve"> </w:t>
      </w:r>
      <w:r>
        <w:rPr>
          <w:iCs/>
          <w:i/>
        </w:rPr>
        <w:t xml:space="preserve">Sampling Techniques</w:t>
      </w:r>
      <w:r>
        <w:t xml:space="preserve">, 3rd ed. Wiley.</w:t>
      </w:r>
    </w:p>
    <w:p>
      <w:pPr>
        <w:numPr>
          <w:ilvl w:val="0"/>
          <w:numId w:val="1028"/>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8"/>
        </w:numPr>
        <w:pStyle w:val="Compact"/>
      </w:pPr>
      <w:r>
        <w:t xml:space="preserve">Department of Education OIG (2025). U.S. Department of Education’s Compliance with Payment Integrity Information Act Reporting Requirements for Fiscal Year 2025.</w:t>
      </w:r>
    </w:p>
    <w:p>
      <w:pPr>
        <w:numPr>
          <w:ilvl w:val="0"/>
          <w:numId w:val="1028"/>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8"/>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8"/>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8"/>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8"/>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8"/>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8"/>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8"/>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8"/>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8"/>
        </w:numPr>
        <w:pStyle w:val="Compact"/>
      </w:pPr>
      <w:r>
        <w:t xml:space="preserve">OMB (2021). Memorandum M-21-19, Appendix C to Circular A-123: Requirements for Payment Integrity Improvement. Office of Management and Budget.</w:t>
      </w:r>
    </w:p>
    <w:p>
      <w:pPr>
        <w:numPr>
          <w:ilvl w:val="0"/>
          <w:numId w:val="1028"/>
        </w:numPr>
        <w:pStyle w:val="Compact"/>
      </w:pPr>
      <w:r>
        <w:t xml:space="preserve">Payment Integrity Information Act of 2019, Pub. L. 116-117.</w:t>
      </w:r>
    </w:p>
    <w:p>
      <w:pPr>
        <w:numPr>
          <w:ilvl w:val="0"/>
          <w:numId w:val="1028"/>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8"/>
        </w:numPr>
        <w:pStyle w:val="Compact"/>
      </w:pPr>
      <w:r>
        <w:t xml:space="preserve">Wolter KM (2007).</w:t>
      </w:r>
      <w:r>
        <w:t xml:space="preserve"> </w:t>
      </w:r>
      <w:r>
        <w:rPr>
          <w:iCs/>
          <w:i/>
        </w:rPr>
        <w:t xml:space="preserve">Introduction to Variance Estimation</w:t>
      </w:r>
      <w:r>
        <w:t xml:space="preserve">, 2nd ed. Springer.</w:t>
      </w:r>
    </w:p>
    <w:bookmarkEnd w:id="55"/>
    <w:bookmarkStart w:id="61"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No protected health information, no unit-level data from any source and no non-public CMS material (contractor methodology plans, internal error data) were used. Populations are calibrated only to public aggregate results: FY 2025 HHS Agency Financial Report figures and the program-specific CMS result pages cited in Appendix B.</w:t>
      </w:r>
    </w:p>
    <w:bookmarkStart w:id="56"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29"/>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30"/>
        </w:numPr>
        <w:pStyle w:val="Compact"/>
      </w:pPr>
      <w:r>
        <w:t xml:space="preserve">Population. Units with their payment amounts and the fields each payment function needs: risk scores and HCCs, PDEs and benefit phases, APTC inputs, claims.</w:t>
      </w:r>
    </w:p>
    <w:p>
      <w:pPr>
        <w:numPr>
          <w:ilvl w:val="1"/>
          <w:numId w:val="1030"/>
        </w:numPr>
        <w:pStyle w:val="Compact"/>
      </w:pPr>
      <w:r>
        <w:t xml:space="preserve">Errors. Each unit’s candidate error is drawn first,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30"/>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30"/>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29"/>
        </w:numPr>
        <w:pStyle w:val="Compact"/>
      </w:pPr>
      <w:r>
        <w:rPr>
          <w:rStyle w:val="VerbatimChar"/>
          <w:bCs/>
          <w:b/>
        </w:rPr>
        <w:t xml:space="preserve">estimation/</w:t>
      </w:r>
      <w:r>
        <w:t xml:space="preserve"> </w:t>
      </w:r>
      <w:r>
        <w:t xml:space="preserve">draws the audits and estimates with each method.</w:t>
      </w:r>
    </w:p>
    <w:p>
      <w:pPr>
        <w:numPr>
          <w:ilvl w:val="1"/>
          <w:numId w:val="1031"/>
        </w:numPr>
        <w:pStyle w:val="Compact"/>
      </w:pPr>
      <w:r>
        <w:t xml:space="preserve">Frame and design. Strata, the allocation (Neyman where stated), and the sample size.</w:t>
      </w:r>
    </w:p>
    <w:p>
      <w:pPr>
        <w:numPr>
          <w:ilvl w:val="1"/>
          <w:numId w:val="1031"/>
        </w:numPr>
        <w:pStyle w:val="Compact"/>
      </w:pPr>
      <w:r>
        <w:t xml:space="preserve">Audits. 25 independent production audits (</w:t>
      </w:r>
      <w:r>
        <w:t xml:space="preserve">“</w:t>
      </w:r>
      <w:r>
        <w:t xml:space="preserve">audit years</w:t>
      </w:r>
      <w:r>
        <w:t xml:space="preserve">”</w:t>
      </w:r>
      <w:r>
        <w:t xml:space="preserve">).</w:t>
      </w:r>
    </w:p>
    <w:p>
      <w:pPr>
        <w:numPr>
          <w:ilvl w:val="1"/>
          <w:numId w:val="1031"/>
        </w:numPr>
        <w:pStyle w:val="Compact"/>
      </w:pPr>
      <w:r>
        <w:t xml:space="preserve">Estimators. Expansion, ratio and regression (generalized regression with an intercept and payment as auxiliary), with normal 95% intervals from Taylor linearization. These are written once in</w:t>
      </w:r>
      <w:r>
        <w:t xml:space="preserve"> </w:t>
      </w:r>
      <w:r>
        <w:rPr>
          <w:rStyle w:val="VerbatimChar"/>
        </w:rPr>
        <w:t xml:space="preserve">shared/sql/lib/02_estimators.sql</w:t>
      </w:r>
      <w:r>
        <w:t xml:space="preserve"> </w:t>
      </w:r>
      <w:r>
        <w:t xml:space="preserve">and tested against an independent numpy implementation.</w:t>
      </w:r>
    </w:p>
    <w:p>
      <w:pPr>
        <w:numPr>
          <w:ilvl w:val="1"/>
          <w:numId w:val="1031"/>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31"/>
        </w:numPr>
        <w:pStyle w:val="Compact"/>
      </w:pPr>
      <w:r>
        <w:t xml:space="preserve">Scoring against the truth.</w:t>
      </w:r>
    </w:p>
    <w:p>
      <w:pPr>
        <w:pStyle w:val="FirstParagraph"/>
      </w:pP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6"/>
    <w:bookmarkStart w:id="57" w:name="a.2-reproducibility"/>
    <w:p>
      <w:pPr>
        <w:pStyle w:val="Heading3"/>
      </w:pPr>
      <w:r>
        <w:t xml:space="preserve">A.2 Reproducibility</w:t>
      </w:r>
    </w:p>
    <w:p>
      <w:pPr>
        <w:numPr>
          <w:ilvl w:val="0"/>
          <w:numId w:val="1032"/>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2"/>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2"/>
        </w:numPr>
        <w:pStyle w:val="Compact"/>
      </w:pPr>
      <w:r>
        <w:rPr>
          <w:bCs/>
          <w:b/>
        </w:rPr>
        <w:t xml:space="preserve">Identical reruns.</w:t>
      </w:r>
      <w:r>
        <w:t xml:space="preserve"> </w:t>
      </w:r>
      <w:r>
        <w:t xml:space="preserve">Reruns give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2"/>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A census audit is also tested: when every unit is audited, both bootstrap versions must return the exact true rates (</w:t>
      </w:r>
      <w:r>
        <w:rPr>
          <w:rStyle w:val="VerbatimChar"/>
        </w:rPr>
        <w:t xml:space="preserve">shared/tests/test_simulation.py</w:t>
      </w:r>
      <w:r>
        <w:t xml:space="preserve">).</w:t>
      </w:r>
    </w:p>
    <w:bookmarkEnd w:id="57"/>
    <w:bookmarkStart w:id="58"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8"/>
    <w:bookmarkStart w:id="59" w:name="a.4-estimands-and-netting"/>
    <w:p>
      <w:pPr>
        <w:pStyle w:val="Heading3"/>
      </w:pPr>
      <w:r>
        <w:t xml:space="preserve">A.4 Estimands and netting</w:t>
      </w:r>
    </w:p>
    <w:p>
      <w:pPr>
        <w:numPr>
          <w:ilvl w:val="0"/>
          <w:numId w:val="1033"/>
        </w:numPr>
        <w:pStyle w:val="Compact"/>
      </w:pPr>
      <w:r>
        <w:rPr>
          <w:bCs/>
          <w:b/>
        </w:rPr>
        <w:t xml:space="preserve">Netting.</w:t>
      </w:r>
      <w:r>
        <w:t xml:space="preserve"> </w:t>
      </w:r>
      <w:r>
        <w:t xml:space="preserve">Errors are netted within the payment unit first: the enrollee (Part C), the beneficiary (Part D), the payment (PERM), the application (EIPM) and the claim (CERT).</w:t>
      </w:r>
    </w:p>
    <w:p>
      <w:pPr>
        <w:numPr>
          <w:ilvl w:val="0"/>
          <w:numId w:val="1033"/>
        </w:numPr>
        <w:pStyle w:val="Compact"/>
      </w:pPr>
      <w:r>
        <w:rPr>
          <w:bCs/>
          <w:b/>
        </w:rPr>
        <w:t xml:space="preserve">Measures.</w:t>
      </w:r>
    </w:p>
    <w:p>
      <w:pPr>
        <w:numPr>
          <w:ilvl w:val="1"/>
          <w:numId w:val="1034"/>
        </w:numPr>
        <w:pStyle w:val="Compact"/>
      </w:pPr>
      <w:r>
        <w:t xml:space="preserve">Over = Σ max(</w:t>
      </w:r>
      <w:r>
        <w:rPr>
          <w:iCs/>
          <w:i/>
        </w:rPr>
        <w:t xml:space="preserve">y</w:t>
      </w:r>
      <w:r>
        <w:t xml:space="preserve">, 0)</w:t>
      </w:r>
    </w:p>
    <w:p>
      <w:pPr>
        <w:numPr>
          <w:ilvl w:val="1"/>
          <w:numId w:val="1034"/>
        </w:numPr>
        <w:pStyle w:val="Compact"/>
      </w:pPr>
      <w:r>
        <w:t xml:space="preserve">Under = Σ max(−</w:t>
      </w:r>
      <w:r>
        <w:rPr>
          <w:iCs/>
          <w:i/>
        </w:rPr>
        <w:t xml:space="preserve">y</w:t>
      </w:r>
      <w:r>
        <w:t xml:space="preserve">, 0)</w:t>
      </w:r>
    </w:p>
    <w:p>
      <w:pPr>
        <w:numPr>
          <w:ilvl w:val="1"/>
          <w:numId w:val="1034"/>
        </w:numPr>
        <w:pStyle w:val="Compact"/>
      </w:pPr>
      <w:r>
        <w:t xml:space="preserve">Gross = over + under</w:t>
      </w:r>
    </w:p>
    <w:p>
      <w:pPr>
        <w:numPr>
          <w:ilvl w:val="1"/>
          <w:numId w:val="1034"/>
        </w:numPr>
        <w:pStyle w:val="Compact"/>
      </w:pPr>
      <w:r>
        <w:t xml:space="preserve">Net = over − under</w:t>
      </w:r>
    </w:p>
    <w:p>
      <w:pPr>
        <w:numPr>
          <w:ilvl w:val="0"/>
          <w:numId w:val="1033"/>
        </w:numPr>
        <w:pStyle w:val="Compact"/>
      </w:pPr>
      <w:r>
        <w:rPr>
          <w:bCs/>
          <w:b/>
        </w:rPr>
        <w:t xml:space="preserve">Rates.</w:t>
      </w:r>
      <w:r>
        <w:t xml:space="preserve"> </w:t>
      </w:r>
      <w:r>
        <w:t xml:space="preserve">Each total is estimated in dollars with its interval first, then divided by the known total payments</w:t>
      </w:r>
      <w:r>
        <w:t xml:space="preserve"> </w:t>
      </w:r>
      <w:r>
        <w:rPr>
          <w:iCs/>
          <w:i/>
        </w:rPr>
        <w:t xml:space="preserve">X</w:t>
      </w:r>
      <w:r>
        <w:t xml:space="preserve">.</w:t>
      </w:r>
    </w:p>
    <w:p>
      <w:pPr>
        <w:numPr>
          <w:ilvl w:val="0"/>
          <w:numId w:val="1033"/>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3"/>
        </w:numPr>
        <w:pStyle w:val="Compact"/>
      </w:pPr>
      <w:r>
        <w:rPr>
          <w:bCs/>
          <w:b/>
        </w:rPr>
        <w:t xml:space="preserve">Analytic estimators.</w:t>
      </w:r>
      <w:r>
        <w:t xml:space="preserve"> </w:t>
      </w:r>
      <w:r>
        <w:t xml:space="preserve">These estimate the rate directly as *T̂_y / X* (expansion), *T̂_y / T̂_x* (ratio) or</w:t>
      </w:r>
      <w:r>
        <w:t xml:space="preserve"> </w:t>
      </w:r>
      <w:r>
        <w:rPr>
          <w:iCs/>
          <w:i/>
        </w:rPr>
        <w:t xml:space="preserve">[T̂_y + b(X − T̂_x)] / X</w:t>
      </w:r>
      <w:r>
        <w:t xml:space="preserve"> </w:t>
      </w:r>
      <w:r>
        <w:t xml:space="preserve">(regression), using stratified-SRS variance formulas with finite population correction.</w:t>
      </w:r>
    </w:p>
    <w:bookmarkEnd w:id="59"/>
    <w:bookmarkStart w:id="60"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5"/>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6"/>
        </w:numPr>
        <w:pStyle w:val="Compact"/>
      </w:pPr>
      <w:r>
        <w:rPr>
          <w:iCs/>
          <w:i/>
        </w:rPr>
        <w:t xml:space="preserve">f</w:t>
      </w:r>
      <w:r>
        <w:t xml:space="preserve"> </w:t>
      </w:r>
      <w:r>
        <w:t xml:space="preserve">= how many are in error;</w:t>
      </w:r>
    </w:p>
    <w:p>
      <w:pPr>
        <w:numPr>
          <w:ilvl w:val="1"/>
          <w:numId w:val="1036"/>
        </w:numPr>
        <w:pStyle w:val="Compact"/>
      </w:pPr>
      <w:r>
        <w:rPr>
          <w:iCs/>
          <w:i/>
        </w:rPr>
        <w:t xml:space="preserve">g</w:t>
      </w:r>
      <w:r>
        <w:t xml:space="preserve"> </w:t>
      </w:r>
      <w:r>
        <w:t xml:space="preserve">= how many of those errors are partial;</w:t>
      </w:r>
    </w:p>
    <w:p>
      <w:pPr>
        <w:numPr>
          <w:ilvl w:val="1"/>
          <w:numId w:val="1036"/>
        </w:numPr>
        <w:pStyle w:val="Compact"/>
      </w:pPr>
      <w:r>
        <w:t xml:space="preserve">the list of audited partial sizes (taints, income ratios or HCC losses).</w:t>
      </w:r>
    </w:p>
    <w:p>
      <w:pPr>
        <w:numPr>
          <w:ilvl w:val="0"/>
          <w:numId w:val="1035"/>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5"/>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5"/>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5"/>
        </w:numPr>
        <w:pStyle w:val="Compact"/>
      </w:pPr>
      <w:r>
        <w:rPr>
          <w:bCs/>
          <w:b/>
        </w:rPr>
        <w:t xml:space="preserve">Audited units</w:t>
      </w:r>
      <w:r>
        <w:t xml:space="preserve"> </w:t>
      </w:r>
      <w:r>
        <w:t xml:space="preserve">keep their own findings.</w:t>
      </w:r>
    </w:p>
    <w:p>
      <w:pPr>
        <w:numPr>
          <w:ilvl w:val="0"/>
          <w:numId w:val="1035"/>
        </w:numPr>
        <w:pStyle w:val="Compact"/>
      </w:pPr>
      <w:r>
        <w:rPr>
          <w:bCs/>
          <w:b/>
        </w:rPr>
        <w:t xml:space="preserve">Rerun the payment function</w:t>
      </w:r>
      <w:r>
        <w:t xml:space="preserve"> </w:t>
      </w:r>
      <w:r>
        <w:t xml:space="preserve">for every unit: the risk score × county rate, the Part D benefit, APTC, or claim × taint. Net per unit, then sum to over, under, gross and net, and divide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0"/>
    <w:bookmarkEnd w:id="61"/>
    <w:bookmarkStart w:id="68"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They are set to plausible levels and labeled as such in the configs.</w:t>
      </w:r>
    </w:p>
    <w:bookmarkStart w:id="62"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p>
    <w:p>
      <w:pPr>
        <w:numPr>
          <w:ilvl w:val="0"/>
          <w:numId w:val="1037"/>
        </w:numPr>
        <w:pStyle w:val="Compact"/>
      </w:pPr>
      <w:r>
        <w:t xml:space="preserve">550 contracts with lognormal enrollment and a coding-intensity factor.</w:t>
      </w:r>
    </w:p>
    <w:p>
      <w:pPr>
        <w:numPr>
          <w:ilvl w:val="0"/>
          <w:numId w:val="1037"/>
        </w:numPr>
        <w:pStyle w:val="Compact"/>
      </w:pPr>
      <w:r>
        <w:t xml:space="preserve">HCCs from 10 illustrative families, each with a mild and a severe level.</w:t>
      </w:r>
    </w:p>
    <w:p>
      <w:pPr>
        <w:numPr>
          <w:ilvl w:val="0"/>
          <w:numId w:val="1037"/>
        </w:numPr>
        <w:pStyle w:val="Compact"/>
      </w:pPr>
      <w:r>
        <w:t xml:space="preserve">Payment = risk score × county rate × months, scaled to $388.72B of payments subject to risk adjustment.</w:t>
      </w:r>
    </w:p>
    <w:p>
      <w:pPr>
        <w:pStyle w:val="FirstParagraph"/>
      </w:pPr>
      <w:r>
        <w:rPr>
          <w:bCs/>
          <w:b/>
        </w:rPr>
        <w:t xml:space="preserve">Errors:</w:t>
      </w:r>
    </w:p>
    <w:p>
      <w:pPr>
        <w:numPr>
          <w:ilvl w:val="0"/>
          <w:numId w:val="1038"/>
        </w:numPr>
        <w:pStyle w:val="Compact"/>
      </w:pPr>
      <w:r>
        <w:t xml:space="preserve">HCCs not supported by the record: deleted, or moved down the hierarchy (severe to mild).</w:t>
      </w:r>
    </w:p>
    <w:p>
      <w:pPr>
        <w:numPr>
          <w:ilvl w:val="0"/>
          <w:numId w:val="1038"/>
        </w:numPr>
        <w:pStyle w:val="Compact"/>
      </w:pPr>
      <w:r>
        <w:t xml:space="preserve">Missing documentation: every coded HCC is lost.</w:t>
      </w:r>
    </w:p>
    <w:p>
      <w:pPr>
        <w:numPr>
          <w:ilvl w:val="0"/>
          <w:numId w:val="1038"/>
        </w:numPr>
        <w:pStyle w:val="Compact"/>
      </w:pPr>
      <w:r>
        <w:t xml:space="preserve">HCCs supported by the record but not coded: underpayments.</w:t>
      </w:r>
    </w:p>
    <w:p>
      <w:pPr>
        <w:numPr>
          <w:ilvl w:val="0"/>
          <w:numId w:val="1038"/>
        </w:numPr>
        <w:pStyle w:val="Compact"/>
      </w:pPr>
      <w:r>
        <w:t xml:space="preserve">Calibrated to the FY 2025 Part C results: gross 6.09%, overpayments $21.43B, underpayments $2.23B, missing documentation 0.22%.</w:t>
      </w:r>
    </w:p>
    <w:p>
      <w:pPr>
        <w:numPr>
          <w:ilvl w:val="0"/>
          <w:numId w:val="1038"/>
        </w:numPr>
        <w:pStyle w:val="Compact"/>
      </w:pPr>
      <w:r>
        <w:t xml:space="preserve">The simulated truth is gross 6.06% ($23.57B).</w:t>
      </w:r>
    </w:p>
    <w:p>
      <w:pPr>
        <w:pStyle w:val="FirstParagraph"/>
      </w:pPr>
      <w:r>
        <w:rPr>
          <w:bCs/>
          <w:b/>
        </w:rPr>
        <w:t xml:space="preserve">Audit:</w:t>
      </w:r>
      <w:r>
        <w:t xml:space="preserve"> </w:t>
      </w:r>
      <w:r>
        <w:t xml:space="preserve">990 enrollees, 330 per national tercile of the submitted risk score (stratified SRS). The real Part C IPM sample size and strata are not public. The terciles follow the 2012 RADV design.</w:t>
      </w:r>
    </w:p>
    <w:p>
      <w:pPr>
        <w:pStyle w:val="BodyText"/>
      </w:pPr>
      <w:r>
        <w:rPr>
          <w:bCs/>
          <w:b/>
        </w:rPr>
        <w:t xml:space="preserve">Estimators:</w:t>
      </w:r>
    </w:p>
    <w:p>
      <w:pPr>
        <w:numPr>
          <w:ilvl w:val="0"/>
          <w:numId w:val="1039"/>
        </w:numPr>
        <w:pStyle w:val="Compact"/>
      </w:pPr>
      <w:r>
        <w:t xml:space="preserve">Expansion works in risk-score units: within each tercile, the mean over and under risk-score error × the tercile’s size × the national mean county rate × months.</w:t>
      </w:r>
    </w:p>
    <w:p>
      <w:pPr>
        <w:numPr>
          <w:ilvl w:val="0"/>
          <w:numId w:val="1039"/>
        </w:numPr>
        <w:pStyle w:val="Compact"/>
      </w:pPr>
      <w:r>
        <w:t xml:space="preserve">Ratio and regression use the enrollee payment.</w:t>
      </w:r>
    </w:p>
    <w:p>
      <w:pPr>
        <w:pStyle w:val="FirstParagraph"/>
      </w:pPr>
      <w:r>
        <w:rPr>
          <w:bCs/>
          <w:b/>
        </w:rPr>
        <w:t xml:space="preserve">Bootstrap simulation:</w:t>
      </w:r>
    </w:p>
    <w:p>
      <w:pPr>
        <w:numPr>
          <w:ilvl w:val="0"/>
          <w:numId w:val="1040"/>
        </w:numPr>
        <w:pStyle w:val="Compact"/>
      </w:pPr>
      <w:r>
        <w:t xml:space="preserve">One failure rate per HCC (20). A failed audited instance is one that was deleted, moved, or on a record with missing documentation, and it loses its HCC’s mean audited loss.</w:t>
      </w:r>
    </w:p>
    <w:p>
      <w:pPr>
        <w:numPr>
          <w:ilvl w:val="0"/>
          <w:numId w:val="1040"/>
        </w:numPr>
        <w:pStyle w:val="Compact"/>
      </w:pPr>
      <w:r>
        <w:t xml:space="preserve">One addition rate per family (10).</w:t>
      </w:r>
    </w:p>
    <w:p>
      <w:pPr>
        <w:numPr>
          <w:ilvl w:val="0"/>
          <w:numId w:val="1040"/>
        </w:numPr>
        <w:pStyle w:val="Compact"/>
      </w:pPr>
      <w:r>
        <w:t xml:space="preserve">An HCC with no audited instance never fails. Rates are not extrapolated to unaudited HCCs.</w:t>
      </w:r>
    </w:p>
    <w:bookmarkEnd w:id="62"/>
    <w:bookmarkStart w:id="63"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p>
    <w:p>
      <w:pPr>
        <w:numPr>
          <w:ilvl w:val="0"/>
          <w:numId w:val="1041"/>
        </w:numPr>
        <w:pStyle w:val="Compact"/>
      </w:pPr>
      <w:r>
        <w:t xml:space="preserve">Gross drug cost (GDC) = ingredient cost + dispensing fee + sales tax + vaccine administration fee.</w:t>
      </w:r>
    </w:p>
    <w:p>
      <w:pPr>
        <w:numPr>
          <w:ilvl w:val="0"/>
          <w:numId w:val="1041"/>
        </w:numPr>
        <w:pStyle w:val="Compact"/>
      </w:pPr>
      <w:r>
        <w:t xml:space="preserve">4% of beneficiaries are in long-term care (LTC) and fill about twice as many PDEs (illustrative).</w:t>
      </w:r>
    </w:p>
    <w:p>
      <w:pPr>
        <w:numPr>
          <w:ilvl w:val="0"/>
          <w:numId w:val="1041"/>
        </w:numPr>
        <w:pStyle w:val="Compact"/>
      </w:pPr>
      <w:r>
        <w:t xml:space="preserve">The CY 2025 post-IRA standard benefit is run on submitted and corrected PDEs:</w:t>
      </w:r>
    </w:p>
    <w:p>
      <w:pPr>
        <w:numPr>
          <w:ilvl w:val="1"/>
          <w:numId w:val="1042"/>
        </w:numPr>
        <w:pStyle w:val="Compact"/>
      </w:pPr>
      <w:r>
        <w:t xml:space="preserve">$590 deductible and $2,000 out-of-pocket cap;</w:t>
      </w:r>
    </w:p>
    <w:p>
      <w:pPr>
        <w:numPr>
          <w:ilvl w:val="1"/>
          <w:numId w:val="1042"/>
        </w:numPr>
        <w:pStyle w:val="Compact"/>
      </w:pPr>
      <w:r>
        <w:t xml:space="preserve">Manufacturer Discount Program;</w:t>
      </w:r>
    </w:p>
    <w:p>
      <w:pPr>
        <w:numPr>
          <w:ilvl w:val="1"/>
          <w:numId w:val="1042"/>
        </w:numPr>
        <w:pStyle w:val="Compact"/>
      </w:pPr>
      <w:r>
        <w:t xml:space="preserve">20% and 40% reinsurance;</w:t>
      </w:r>
    </w:p>
    <w:p>
      <w:pPr>
        <w:numPr>
          <w:ilvl w:val="1"/>
          <w:numId w:val="1042"/>
        </w:numPr>
        <w:pStyle w:val="Compact"/>
      </w:pPr>
      <w:r>
        <w:t xml:space="preserve">low-income subsidy copays.</w:t>
      </w:r>
    </w:p>
    <w:p>
      <w:pPr>
        <w:numPr>
          <w:ilvl w:val="0"/>
          <w:numId w:val="1041"/>
        </w:numPr>
        <w:pStyle w:val="Compact"/>
      </w:pPr>
      <w:r>
        <w:t xml:space="preserve">Payments are direct subsidy + reinsurance + LICS, $105.56B in all.</w:t>
      </w:r>
    </w:p>
    <w:p>
      <w:pPr>
        <w:pStyle w:val="FirstParagraph"/>
      </w:pPr>
      <w:r>
        <w:rPr>
          <w:bCs/>
          <w:b/>
        </w:rPr>
        <w:t xml:space="preserve">Errors:</w:t>
      </w:r>
    </w:p>
    <w:p>
      <w:pPr>
        <w:numPr>
          <w:ilvl w:val="0"/>
          <w:numId w:val="1043"/>
        </w:numPr>
        <w:pStyle w:val="Compact"/>
      </w:pPr>
      <w:r>
        <w:t xml:space="preserve">One candidate per PDE. 90% are full errors (GDC → 0) and 10% are partial, with the error share uniform on [−100%, 100%).</w:t>
      </w:r>
    </w:p>
    <w:p>
      <w:pPr>
        <w:numPr>
          <w:ilvl w:val="0"/>
          <w:numId w:val="1043"/>
        </w:numPr>
        <w:pStyle w:val="Compact"/>
      </w:pPr>
      <w:r>
        <w:t xml:space="preserve">Error probability is 10% for LTC PDEs and 2.5% for other PDEs (illustrative).</w:t>
      </w:r>
    </w:p>
    <w:p>
      <w:pPr>
        <w:numPr>
          <w:ilvl w:val="0"/>
          <w:numId w:val="1043"/>
        </w:numPr>
        <w:pStyle w:val="Compact"/>
      </w:pPr>
      <w:r>
        <w:t xml:space="preserve">No calibration: the truth is 1.38% gross ($1.46B).</w:t>
      </w:r>
    </w:p>
    <w:p>
      <w:pPr>
        <w:numPr>
          <w:ilvl w:val="0"/>
          <w:numId w:val="1043"/>
        </w:numPr>
        <w:pStyle w:val="Compact"/>
      </w:pPr>
      <w:r>
        <w:t xml:space="preserve">The FY 2025 Part D result was 4.00%, so this population tests the method at a lower error rate than production.</w:t>
      </w:r>
    </w:p>
    <w:p>
      <w:pPr>
        <w:pStyle w:val="FirstParagraph"/>
      </w:pPr>
      <w:r>
        <w:rPr>
          <w:bCs/>
          <w:b/>
        </w:rPr>
        <w:t xml:space="preserve">Audits:</w:t>
      </w:r>
    </w:p>
    <w:p>
      <w:pPr>
        <w:numPr>
          <w:ilvl w:val="0"/>
          <w:numId w:val="1044"/>
        </w:numPr>
        <w:pStyle w:val="Compact"/>
      </w:pPr>
      <w:r>
        <w:t xml:space="preserve">PDE audit of 5,000, in three strata: LTC; non-LTC in the lowest decile of GDC; other non-LTC. Neyman allocation.</w:t>
      </w:r>
    </w:p>
    <w:p>
      <w:pPr>
        <w:numPr>
          <w:ilvl w:val="1"/>
          <w:numId w:val="1045"/>
        </w:numPr>
        <w:pStyle w:val="Compact"/>
      </w:pPr>
      <w:r>
        <w:t xml:space="preserve">Used by expansion and by the bootstrap simulation.</w:t>
      </w:r>
    </w:p>
    <w:p>
      <w:pPr>
        <w:numPr>
          <w:ilvl w:val="1"/>
          <w:numId w:val="1045"/>
        </w:numPr>
        <w:pStyle w:val="Compact"/>
      </w:pPr>
      <w:r>
        <w:t xml:space="preserve">Expansion applies each stratum’s audited error rate to every PDE in the stratum and reruns the benefit. Its interval is a delta-method interval: each stratum rate is moved ±1 SE and the benefit rerun each way.</w:t>
      </w:r>
    </w:p>
    <w:p>
      <w:pPr>
        <w:numPr>
          <w:ilvl w:val="0"/>
          <w:numId w:val="1044"/>
        </w:numPr>
        <w:pStyle w:val="Compact"/>
      </w:pPr>
      <w:r>
        <w:t xml:space="preserve">Beneficiary audit: an SRS of 990 beneficiaries with every PDE reviewed. Used by ratio and regression.</w:t>
      </w:r>
    </w:p>
    <w:p>
      <w:pPr>
        <w:pStyle w:val="FirstParagraph"/>
      </w:pPr>
      <w:r>
        <w:t xml:space="preserve">The two audits differ, so the comparison between methods is between designs as well as estimators.</w:t>
      </w:r>
    </w:p>
    <w:bookmarkEnd w:id="63"/>
    <w:bookmarkStart w:id="64"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p>
    <w:p>
      <w:pPr>
        <w:numPr>
          <w:ilvl w:val="0"/>
          <w:numId w:val="1046"/>
        </w:numPr>
        <w:pStyle w:val="Compact"/>
      </w:pPr>
      <w:r>
        <w:t xml:space="preserve">FFS claims and monthly managed-care capitations.</w:t>
      </w:r>
    </w:p>
    <w:p>
      <w:pPr>
        <w:numPr>
          <w:ilvl w:val="0"/>
          <w:numId w:val="1046"/>
        </w:numPr>
        <w:pStyle w:val="Compact"/>
      </w:pPr>
      <w:r>
        <w:t xml:space="preserve">Rates are measured at federal share, Σ</w:t>
      </w:r>
      <w:r>
        <w:rPr>
          <w:iCs/>
          <w:i/>
        </w:rPr>
        <w:t xml:space="preserve">y</w:t>
      </w:r>
      <w:r>
        <w:t xml:space="preserve">·FMAP / Σ</w:t>
      </w:r>
      <w:r>
        <w:rPr>
          <w:iCs/>
          <w:i/>
        </w:rPr>
        <w:t xml:space="preserve">x</w:t>
      </w:r>
      <w:r>
        <w:t xml:space="preserve">·FMAP, with $142.0B in federal payments.</w:t>
      </w:r>
    </w:p>
    <w:p>
      <w:pPr>
        <w:pStyle w:val="FirstParagraph"/>
      </w:pPr>
      <w:r>
        <w:rPr>
          <w:bCs/>
          <w:b/>
        </w:rPr>
        <w:t xml:space="preserve">Errors:</w:t>
      </w:r>
    </w:p>
    <w:p>
      <w:pPr>
        <w:numPr>
          <w:ilvl w:val="0"/>
          <w:numId w:val="1047"/>
        </w:numPr>
        <w:pStyle w:val="Compact"/>
      </w:pPr>
      <w:r>
        <w:t xml:space="preserve">Claims-review errors: FFS 6.5% of payments (70% all-or-nothing, 30% partial); MC 0.3%.</w:t>
      </w:r>
    </w:p>
    <w:p>
      <w:pPr>
        <w:numPr>
          <w:ilvl w:val="0"/>
          <w:numId w:val="1047"/>
        </w:numPr>
        <w:pStyle w:val="Compact"/>
      </w:pPr>
      <w:r>
        <w:t xml:space="preserve">Eligibility errors, set beneficiary by beneficiary. Each state’s true rate is set on a grid from 2.00% to 4.00%.</w:t>
      </w:r>
    </w:p>
    <w:p>
      <w:pPr>
        <w:numPr>
          <w:ilvl w:val="0"/>
          <w:numId w:val="1047"/>
        </w:numPr>
        <w:pStyle w:val="Compact"/>
      </w:pPr>
      <w:r>
        <w:t xml:space="preserve">Gross = the whole payment if eligibility is in error, otherwise the claims error.</w:t>
      </w:r>
    </w:p>
    <w:p>
      <w:pPr>
        <w:numPr>
          <w:ilvl w:val="0"/>
          <w:numId w:val="1047"/>
        </w:numPr>
        <w:pStyle w:val="Compact"/>
      </w:pPr>
      <w:r>
        <w:t xml:space="preserve">Calibrated to the Medicaid FY 2025 rate of 6.12%; the simulated truth is 6.09%.</w:t>
      </w:r>
    </w:p>
    <w:p>
      <w:pPr>
        <w:pStyle w:val="FirstParagraph"/>
      </w:pPr>
      <w:r>
        <w:rPr>
          <w:bCs/>
          <w:b/>
        </w:rPr>
        <w:t xml:space="preserve">Audit:</w:t>
      </w:r>
    </w:p>
    <w:p>
      <w:pPr>
        <w:numPr>
          <w:ilvl w:val="0"/>
          <w:numId w:val="1048"/>
        </w:numPr>
        <w:pStyle w:val="Compact"/>
      </w:pPr>
      <w:r>
        <w:t xml:space="preserve">Strata within each state: payment type (FFS, MC) × five equal-count payment quintiles (10 strata).</w:t>
      </w:r>
    </w:p>
    <w:p>
      <w:pPr>
        <w:numPr>
          <w:ilvl w:val="0"/>
          <w:numId w:val="1048"/>
        </w:numPr>
        <w:pStyle w:val="Compact"/>
      </w:pPr>
      <w:r>
        <w:t xml:space="preserve">Neyman allocation of 520 payments per state-year, with systematic selection after sorting by amount within stratum.</w:t>
      </w:r>
    </w:p>
    <w:p>
      <w:pPr>
        <w:numPr>
          <w:ilvl w:val="0"/>
          <w:numId w:val="1048"/>
        </w:numPr>
        <w:pStyle w:val="Compact"/>
      </w:pPr>
      <w:r>
        <w:t xml:space="preserve">National pooling:</w:t>
      </w:r>
    </w:p>
    <w:p>
      <w:pPr>
        <w:numPr>
          <w:ilvl w:val="1"/>
          <w:numId w:val="1049"/>
        </w:numPr>
        <w:pStyle w:val="Compact"/>
      </w:pPr>
      <w:r>
        <w:t xml:space="preserve">Analytic methods add the state dollar totals and variances.</w:t>
      </w:r>
    </w:p>
    <w:p>
      <w:pPr>
        <w:numPr>
          <w:ilvl w:val="1"/>
          <w:numId w:val="1049"/>
        </w:numPr>
        <w:pStyle w:val="Compact"/>
      </w:pPr>
      <w:r>
        <w:t xml:space="preserve">The bootstrap simulation sums the states’ iteration totals iteration by iteration.</w:t>
      </w:r>
    </w:p>
    <w:p>
      <w:pPr>
        <w:pStyle w:val="FirstParagraph"/>
      </w:pPr>
      <w:r>
        <w:rPr>
          <w:bCs/>
          <w:b/>
        </w:rPr>
        <w:t xml:space="preserve">Bootstrap simulation:</w:t>
      </w:r>
    </w:p>
    <w:p>
      <w:pPr>
        <w:numPr>
          <w:ilvl w:val="0"/>
          <w:numId w:val="1050"/>
        </w:numPr>
        <w:pStyle w:val="Compact"/>
      </w:pPr>
      <w:r>
        <w:t xml:space="preserve">Claims findings are matched within the payment stratum.</w:t>
      </w:r>
    </w:p>
    <w:p>
      <w:pPr>
        <w:numPr>
          <w:ilvl w:val="0"/>
          <w:numId w:val="1050"/>
        </w:numPr>
        <w:pStyle w:val="Compact"/>
      </w:pPr>
      <w:r>
        <w:t xml:space="preserve">The eligibility error rate is taken from the audited beneficiaries of the state.</w:t>
      </w:r>
    </w:p>
    <w:bookmarkEnd w:id="64"/>
    <w:bookmarkStart w:id="65"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p>
    <w:p>
      <w:pPr>
        <w:numPr>
          <w:ilvl w:val="0"/>
          <w:numId w:val="1051"/>
        </w:numPr>
        <w:pStyle w:val="Compact"/>
      </w:pPr>
      <w:r>
        <w:t xml:space="preserve">Households with income, size, age and benchmark premium.</w:t>
      </w:r>
    </w:p>
    <w:p>
      <w:pPr>
        <w:numPr>
          <w:ilvl w:val="0"/>
          <w:numId w:val="1051"/>
        </w:numPr>
        <w:pStyle w:val="Compact"/>
      </w:pPr>
      <w:r>
        <w:t xml:space="preserve">APTC under the enhanced applicable-percentage schedule for 2021–2025.</w:t>
      </w:r>
    </w:p>
    <w:p>
      <w:pPr>
        <w:numPr>
          <w:ilvl w:val="0"/>
          <w:numId w:val="1051"/>
        </w:numPr>
        <w:pStyle w:val="Compact"/>
      </w:pPr>
      <w:r>
        <w:t xml:space="preserve">APTC recipients only.</w:t>
      </w:r>
    </w:p>
    <w:p>
      <w:pPr>
        <w:pStyle w:val="FirstParagraph"/>
      </w:pPr>
      <w:r>
        <w:rPr>
          <w:bCs/>
          <w:b/>
        </w:rPr>
        <w:t xml:space="preserve">Errors:</w:t>
      </w:r>
    </w:p>
    <w:p>
      <w:pPr>
        <w:numPr>
          <w:ilvl w:val="0"/>
          <w:numId w:val="1052"/>
        </w:numPr>
        <w:pStyle w:val="Compact"/>
      </w:pPr>
      <w:r>
        <w:t xml:space="preserve">FY 2023–2025 public results report no underpayments, so every error is an overpayment.</w:t>
      </w:r>
    </w:p>
    <w:p>
      <w:pPr>
        <w:numPr>
          <w:ilvl w:val="0"/>
          <w:numId w:val="1052"/>
        </w:numPr>
        <w:pStyle w:val="Compact"/>
      </w:pPr>
      <w:r>
        <w:rPr>
          <w:iCs/>
          <w:i/>
        </w:rPr>
        <w:t xml:space="preserve">Technical</w:t>
      </w:r>
      <w:r>
        <w:t xml:space="preserve"> </w:t>
      </w:r>
      <w:r>
        <w:t xml:space="preserve">errors: a required data match was not run, so the whole APTC is improper. 48% of improper dollars, matching FY 2025 (0.43 of 0.89 points).</w:t>
      </w:r>
    </w:p>
    <w:p>
      <w:pPr>
        <w:numPr>
          <w:ilvl w:val="0"/>
          <w:numId w:val="1052"/>
        </w:numPr>
        <w:pStyle w:val="Compact"/>
      </w:pPr>
      <w:r>
        <w:rPr>
          <w:iCs/>
          <w:i/>
        </w:rPr>
        <w:t xml:space="preserve">Monetary</w:t>
      </w:r>
      <w:r>
        <w:t xml:space="preserve"> </w:t>
      </w:r>
      <w:r>
        <w:t xml:space="preserve">errors: the supported income is higher than the income used, by a lognormal factor, and APTC is recomputed. 52% of improper dollars.</w:t>
      </w:r>
    </w:p>
    <w:p>
      <w:pPr>
        <w:numPr>
          <w:ilvl w:val="0"/>
          <w:numId w:val="1052"/>
        </w:numPr>
        <w:pStyle w:val="Compact"/>
      </w:pPr>
      <w:r>
        <w:t xml:space="preserve">The simulated truth is 0.92% gross, including technical 0.43%.</w:t>
      </w:r>
    </w:p>
    <w:p>
      <w:pPr>
        <w:pStyle w:val="FirstParagraph"/>
      </w:pPr>
      <w:r>
        <w:rPr>
          <w:bCs/>
          <w:b/>
        </w:rPr>
        <w:t xml:space="preserve">Audit:</w:t>
      </w:r>
    </w:p>
    <w:p>
      <w:pPr>
        <w:numPr>
          <w:ilvl w:val="0"/>
          <w:numId w:val="1053"/>
        </w:numPr>
        <w:pStyle w:val="Compact"/>
      </w:pPr>
      <w:r>
        <w:t xml:space="preserve">Stratified SRS of 2,000 applications, matching CMS’s</w:t>
      </w:r>
      <w:r>
        <w:t xml:space="preserve"> </w:t>
      </w:r>
      <w:r>
        <w:t xml:space="preserve">“</w:t>
      </w:r>
      <w:r>
        <w:t xml:space="preserve">approximately 2,000</w:t>
      </w:r>
      <w:r>
        <w:t xml:space="preserve">”</w:t>
      </w:r>
      <w:r>
        <w:t xml:space="preserve">.</w:t>
      </w:r>
    </w:p>
    <w:p>
      <w:pPr>
        <w:numPr>
          <w:ilvl w:val="0"/>
          <w:numId w:val="1053"/>
        </w:numPr>
        <w:pStyle w:val="Compact"/>
      </w:pPr>
      <w:r>
        <w:t xml:space="preserve">Strata are five equal-count quintiles of annual APTC (illustrative; the EIPM strata are not public), with Neyman allocation.</w:t>
      </w:r>
    </w:p>
    <w:p>
      <w:pPr>
        <w:pStyle w:val="FirstParagraph"/>
      </w:pPr>
      <w:r>
        <w:rPr>
          <w:bCs/>
          <w:b/>
        </w:rPr>
        <w:t xml:space="preserve">Bootstrap simulation:</w:t>
      </w:r>
    </w:p>
    <w:p>
      <w:pPr>
        <w:numPr>
          <w:ilvl w:val="0"/>
          <w:numId w:val="1054"/>
        </w:numPr>
        <w:pStyle w:val="Compact"/>
      </w:pPr>
      <w:r>
        <w:t xml:space="preserve">Within each quintile, an error is technical or monetary at the audited shares.</w:t>
      </w:r>
    </w:p>
    <w:p>
      <w:pPr>
        <w:numPr>
          <w:ilvl w:val="0"/>
          <w:numId w:val="1054"/>
        </w:numPr>
        <w:pStyle w:val="Compact"/>
      </w:pPr>
      <w:r>
        <w:t xml:space="preserve">A monetary error transfers the donor’s ratio of supported to used income, and APTC is recomputed for the recipient, clipped to 100–600% FPL.</w:t>
      </w:r>
    </w:p>
    <w:bookmarkEnd w:id="65"/>
    <w:bookmarkStart w:id="66"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55"/>
        </w:numPr>
        <w:pStyle w:val="Compact"/>
      </w:pPr>
      <w:r>
        <w:t xml:space="preserve">Amounts are lognormal within type (illustrative spread), scaled to FY 2025 payments ($439.9B in all).</w:t>
      </w:r>
    </w:p>
    <w:p>
      <w:pPr>
        <w:numPr>
          <w:ilvl w:val="0"/>
          <w:numId w:val="1055"/>
        </w:numPr>
        <w:pStyle w:val="Compact"/>
      </w:pPr>
      <w:r>
        <w:t xml:space="preserve">MAC jurisdictions are not modeled.</w:t>
      </w:r>
    </w:p>
    <w:p>
      <w:pPr>
        <w:pStyle w:val="FirstParagraph"/>
      </w:pPr>
      <w:r>
        <w:rPr>
          <w:bCs/>
          <w:b/>
        </w:rPr>
        <w:t xml:space="preserve">Errors:</w:t>
      </w:r>
    </w:p>
    <w:p>
      <w:pPr>
        <w:numPr>
          <w:ilvl w:val="0"/>
          <w:numId w:val="1056"/>
        </w:numPr>
        <w:pStyle w:val="Compact"/>
      </w:pPr>
      <w:r>
        <w:t xml:space="preserve">At most one error per claim.</w:t>
      </w:r>
    </w:p>
    <w:p>
      <w:pPr>
        <w:numPr>
          <w:ilvl w:val="0"/>
          <w:numId w:val="1056"/>
        </w:numPr>
        <w:pStyle w:val="Compact"/>
      </w:pPr>
      <w:r>
        <w:t xml:space="preserve">Whole-claim overpayments: no or insufficient documentation, medical necessity, other. These are 92% of overpayment dollars.</w:t>
      </w:r>
    </w:p>
    <w:p>
      <w:pPr>
        <w:numPr>
          <w:ilvl w:val="0"/>
          <w:numId w:val="1056"/>
        </w:numPr>
        <w:pStyle w:val="Compact"/>
      </w:pPr>
      <w:r>
        <w:t xml:space="preserve">Partial coding overpayments: 8% of overpayment dollars, sized 5–60% of the payment.</w:t>
      </w:r>
    </w:p>
    <w:p>
      <w:pPr>
        <w:numPr>
          <w:ilvl w:val="0"/>
          <w:numId w:val="1056"/>
        </w:numPr>
        <w:pStyle w:val="Compact"/>
      </w:pPr>
      <w:r>
        <w:t xml:space="preserve">Coding underpayments: 5–50% of the payment.</w:t>
      </w:r>
    </w:p>
    <w:p>
      <w:pPr>
        <w:numPr>
          <w:ilvl w:val="0"/>
          <w:numId w:val="1056"/>
        </w:numPr>
        <w:pStyle w:val="Compact"/>
      </w:pPr>
      <w:r>
        <w:t xml:space="preserve">Per-type rates are closed form, from FY 2025 overpayment and underpayment dollars (Supplemental Improper Payment Data, Tables A1 and A4).</w:t>
      </w:r>
    </w:p>
    <w:p>
      <w:pPr>
        <w:numPr>
          <w:ilvl w:val="0"/>
          <w:numId w:val="1056"/>
        </w:numPr>
        <w:pStyle w:val="Compact"/>
      </w:pPr>
      <w:r>
        <w:t xml:space="preserve">The simulated truth is 6.50% gross (FY 2025: 6.55%), with $0.92B in underpayments (FY 2025: $1.0B).</w:t>
      </w:r>
    </w:p>
    <w:p>
      <w:pPr>
        <w:pStyle w:val="FirstParagraph"/>
      </w:pPr>
      <w:r>
        <w:rPr>
          <w:bCs/>
          <w:b/>
        </w:rPr>
        <w:t xml:space="preserve">Audit:</w:t>
      </w:r>
    </w:p>
    <w:p>
      <w:pPr>
        <w:numPr>
          <w:ilvl w:val="0"/>
          <w:numId w:val="1057"/>
        </w:numPr>
        <w:pStyle w:val="Compact"/>
      </w:pPr>
      <w:r>
        <w:t xml:space="preserve">37,651 claims, the FY 2025 count of claims reviewed per claim type: IPPS 8,750; Part A excluding IPPS 8,651; Part B 11,600; DMEPOS 8,650.</w:t>
      </w:r>
    </w:p>
    <w:p>
      <w:pPr>
        <w:numPr>
          <w:ilvl w:val="0"/>
          <w:numId w:val="1057"/>
        </w:numPr>
        <w:pStyle w:val="Compact"/>
      </w:pPr>
      <w:r>
        <w:t xml:space="preserve">Neyman allocation across five equal-count payment quintiles within each type. These stand in for CERT’s roughly 100 service-level strata per type, which cannot be rebuilt from public data.</w:t>
      </w:r>
    </w:p>
    <w:p>
      <w:pPr>
        <w:numPr>
          <w:ilvl w:val="0"/>
          <w:numId w:val="1057"/>
        </w:numPr>
        <w:pStyle w:val="Compact"/>
      </w:pPr>
      <w:r>
        <w:t xml:space="preserve">The production estimator reduces nationally to a separate ratio estimator.</w:t>
      </w:r>
    </w:p>
    <w:p>
      <w:pPr>
        <w:numPr>
          <w:ilvl w:val="0"/>
          <w:numId w:val="1057"/>
        </w:numPr>
        <w:pStyle w:val="Compact"/>
      </w:pPr>
      <w:r>
        <w:t xml:space="preserve">The Part A-to-B rebilling adjustment is out of scope.</w:t>
      </w:r>
    </w:p>
    <w:bookmarkEnd w:id="66"/>
    <w:bookmarkStart w:id="67" w:name="b.6-assumptions-common-to-all-programs"/>
    <w:p>
      <w:pPr>
        <w:pStyle w:val="Heading3"/>
      </w:pPr>
      <w:r>
        <w:t xml:space="preserve">B.6 Assumptions common to all programs</w:t>
      </w:r>
    </w:p>
    <w:p>
      <w:pPr>
        <w:numPr>
          <w:ilvl w:val="0"/>
          <w:numId w:val="1058"/>
        </w:numPr>
        <w:pStyle w:val="Compact"/>
      </w:pPr>
      <w:r>
        <w:rPr>
          <w:bCs/>
          <w:b/>
        </w:rPr>
        <w:t xml:space="preserve">Review is perfect.</w:t>
      </w:r>
      <w:r>
        <w:t xml:space="preserve"> </w:t>
      </w:r>
      <w:r>
        <w:t xml:space="preserve">The audit finding equals the truth. There are no reviewer errors and no appeals.</w:t>
      </w:r>
    </w:p>
    <w:p>
      <w:pPr>
        <w:numPr>
          <w:ilvl w:val="0"/>
          <w:numId w:val="1058"/>
        </w:numPr>
        <w:pStyle w:val="Compact"/>
      </w:pPr>
      <w:r>
        <w:rPr>
          <w:bCs/>
          <w:b/>
        </w:rPr>
        <w:t xml:space="preserve">One audit per year.</w:t>
      </w:r>
      <w:r>
        <w:t xml:space="preserve"> </w:t>
      </w:r>
      <w:r>
        <w:t xml:space="preserve">Each audit year has one audit, and every method gets only that audit.</w:t>
      </w:r>
    </w:p>
    <w:p>
      <w:pPr>
        <w:numPr>
          <w:ilvl w:val="0"/>
          <w:numId w:val="1058"/>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58"/>
        </w:numPr>
        <w:pStyle w:val="Compact"/>
      </w:pPr>
      <w:r>
        <w:rPr>
          <w:bCs/>
          <w:b/>
        </w:rPr>
        <w:t xml:space="preserve">Neyman inputs.</w:t>
      </w:r>
      <w:r>
        <w:t xml:space="preserve"> </w:t>
      </w:r>
      <w:r>
        <w:t xml:space="preserve">Allocations use the population’s stratum standard deviations, standing in for prior-year data, which production designs have but this study does not.</w:t>
      </w:r>
    </w:p>
    <w:p>
      <w:pPr>
        <w:numPr>
          <w:ilvl w:val="0"/>
          <w:numId w:val="1058"/>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58"/>
        </w:numPr>
        <w:pStyle w:val="Compact"/>
      </w:pPr>
      <w:r>
        <w:rPr>
          <w:bCs/>
          <w:b/>
        </w:rPr>
        <w:t xml:space="preserve">Unknown payments count as improper,</w:t>
      </w:r>
      <w:r>
        <w:t xml:space="preserve"> </w:t>
      </w:r>
      <w:r>
        <w:t xml:space="preserve">following CMS practice (for example, missing documentation in Part C).</w:t>
      </w:r>
    </w:p>
    <w:bookmarkEnd w:id="67"/>
    <w:bookmarkEnd w:id="68"/>
    <w:bookmarkStart w:id="69"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$23.94B</w:t>
            </w:r>
          </w:p>
        </w:tc>
        <w:tc>
          <w:tcPr/>
          <w:p>
            <w:pPr>
              <w:pStyle w:val="Compact"/>
              <w:jc w:val="left"/>
            </w:pPr>
            <w:r>
              <w:t xml:space="preserve">$20.05B</w:t>
            </w:r>
          </w:p>
        </w:tc>
        <w:tc>
          <w:tcPr/>
          <w:p>
            <w:pPr>
              <w:pStyle w:val="Compact"/>
              <w:jc w:val="left"/>
            </w:pPr>
            <w:r>
              <w:t xml:space="preserve">$27.78B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$1.48B</w:t>
            </w:r>
          </w:p>
        </w:tc>
        <w:tc>
          <w:tcPr/>
          <w:p>
            <w:pPr>
              <w:pStyle w:val="Compact"/>
              <w:jc w:val="left"/>
            </w:pPr>
            <w:r>
              <w:t xml:space="preserve">$0.77B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$7.44B</w:t>
            </w:r>
          </w:p>
        </w:tc>
        <w:tc>
          <w:tcPr/>
          <w:p>
            <w:pPr>
              <w:pStyle w:val="Compact"/>
              <w:jc w:val="left"/>
            </w:pPr>
            <w:r>
              <w:t xml:space="preserve">$9.71B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$28.92B</w:t>
            </w:r>
          </w:p>
        </w:tc>
        <w:tc>
          <w:tcPr/>
          <w:p>
            <w:pPr>
              <w:pStyle w:val="Compact"/>
              <w:jc w:val="left"/>
            </w:pPr>
            <w:r>
              <w:t xml:space="preserve">$27.34B</w:t>
            </w:r>
          </w:p>
        </w:tc>
        <w:tc>
          <w:tcPr/>
          <w:p>
            <w:pPr>
              <w:pStyle w:val="Compact"/>
              <w:jc w:val="left"/>
            </w:pPr>
            <w:r>
              <w:t xml:space="preserve">$30.48B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2" Target="https://github.com/andrewcistola/comparing-improper-payment-estimators"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andrewcistola/comparing-improper-payment-estim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Andrew Cistola, PhD, MPH</dc:creator>
  <cp:keywords/>
  <dcterms:created xsi:type="dcterms:W3CDTF">2026-10-18T03:54:38Z</dcterms:created>
  <dcterms:modified xsi:type="dcterms:W3CDTF">2026-10-18T03:54:38Z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