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9E07" w14:textId="77777777" w:rsidR="00060DF9" w:rsidRPr="008E1307" w:rsidRDefault="00987EB3" w:rsidP="005C6E67">
      <w:pPr>
        <w:pStyle w:val="Title"/>
        <w:rPr>
          <w:rFonts w:asciiTheme="minorHAnsi" w:hAnsiTheme="minorHAnsi"/>
        </w:rPr>
      </w:pPr>
      <w:bookmarkStart w:id="0" w:name="florida-blue-interview-project"/>
      <w:r w:rsidRPr="008E1307">
        <w:rPr>
          <w:rFonts w:asciiTheme="minorHAnsi" w:hAnsiTheme="minorHAnsi"/>
        </w:rPr>
        <w:t>Florida Blue Interview Project</w:t>
      </w:r>
    </w:p>
    <w:p w14:paraId="29DAC5A6" w14:textId="4FC8F756" w:rsidR="005F4601" w:rsidRPr="008E1307" w:rsidRDefault="00987EB3" w:rsidP="001566CD">
      <w:pPr>
        <w:pStyle w:val="Author"/>
        <w:rPr>
          <w:rFonts w:asciiTheme="minorHAnsi" w:hAnsiTheme="minorHAnsi"/>
        </w:rPr>
      </w:pPr>
      <w:bookmarkStart w:id="1" w:name="andrew-s.-cistola-mph"/>
      <w:r w:rsidRPr="008E1307">
        <w:rPr>
          <w:rFonts w:asciiTheme="minorHAnsi" w:hAnsiTheme="minorHAnsi"/>
        </w:rPr>
        <w:t>Andrew S. Cistola, MPH</w:t>
      </w:r>
    </w:p>
    <w:p w14:paraId="1209D8EA" w14:textId="72A904DB" w:rsidR="001566CD" w:rsidRPr="008E1307" w:rsidRDefault="006D1943" w:rsidP="001566CD">
      <w:pPr>
        <w:pStyle w:val="BodyText"/>
        <w:rPr>
          <w:rFonts w:asciiTheme="minorHAnsi" w:hAnsiTheme="minorHAnsi"/>
        </w:rPr>
      </w:pPr>
      <w:r w:rsidRPr="008E1307">
        <w:rPr>
          <w:rFonts w:asciiTheme="minorHAnsi" w:hAnsiTheme="minorHAnsi"/>
        </w:rPr>
        <w:t xml:space="preserve">The following document is designed to serve as a comprehensive report for </w:t>
      </w:r>
      <w:r w:rsidR="003753C6" w:rsidRPr="008E1307">
        <w:rPr>
          <w:rFonts w:asciiTheme="minorHAnsi" w:hAnsiTheme="minorHAnsi"/>
        </w:rPr>
        <w:t xml:space="preserve">the interview with Florida Blue on Wednesday August18, 2021. </w:t>
      </w:r>
      <w:r w:rsidR="001566CD" w:rsidRPr="008E1307">
        <w:rPr>
          <w:rFonts w:asciiTheme="minorHAnsi" w:hAnsiTheme="minorHAnsi"/>
        </w:rPr>
        <w:t xml:space="preserve">The report is organized by the </w:t>
      </w:r>
      <w:r w:rsidR="004A1E63" w:rsidRPr="008E1307">
        <w:rPr>
          <w:rFonts w:asciiTheme="minorHAnsi" w:hAnsiTheme="minorHAnsi"/>
        </w:rPr>
        <w:t>questions provided and corresponding data sources.</w:t>
      </w:r>
    </w:p>
    <w:p w14:paraId="3077B033" w14:textId="7806CBED" w:rsidR="009F45C8" w:rsidRPr="008E1307" w:rsidRDefault="00CF536E" w:rsidP="009F45C8">
      <w:pPr>
        <w:pStyle w:val="Heading3"/>
        <w:spacing w:after="240"/>
        <w:rPr>
          <w:rFonts w:asciiTheme="minorHAnsi" w:hAnsiTheme="minorHAnsi"/>
        </w:rPr>
      </w:pPr>
      <w:r w:rsidRPr="008E1307">
        <w:rPr>
          <w:rFonts w:asciiTheme="minorHAnsi" w:hAnsiTheme="minorHAnsi"/>
        </w:rPr>
        <w:t>Executive Summary</w:t>
      </w:r>
    </w:p>
    <w:p w14:paraId="37CA3FA1" w14:textId="6006E717" w:rsidR="00843A3D" w:rsidRPr="008E1307" w:rsidRDefault="00843A3D" w:rsidP="00843A3D">
      <w:pPr>
        <w:pStyle w:val="BodyText"/>
        <w:rPr>
          <w:rFonts w:asciiTheme="minorHAnsi" w:hAnsiTheme="minorHAnsi"/>
        </w:rPr>
      </w:pPr>
      <w:r w:rsidRPr="008E1307">
        <w:rPr>
          <w:rFonts w:asciiTheme="minorHAnsi" w:hAnsiTheme="minorHAnsi"/>
        </w:rPr>
        <w:t xml:space="preserve">Below are brief answers to the requested questions. More information is detailed in the report. </w:t>
      </w:r>
    </w:p>
    <w:p w14:paraId="4F9E50AB" w14:textId="14032E94" w:rsidR="00B04F0C" w:rsidRPr="008E1307" w:rsidRDefault="00847A4A" w:rsidP="009D15E7">
      <w:pPr>
        <w:pStyle w:val="Heading4"/>
        <w:spacing w:before="0" w:after="0"/>
        <w:rPr>
          <w:rFonts w:asciiTheme="minorHAnsi" w:hAnsiTheme="minorHAnsi"/>
          <w:b/>
          <w:bCs/>
        </w:rPr>
      </w:pPr>
      <w:r w:rsidRPr="008E1307">
        <w:rPr>
          <w:rFonts w:asciiTheme="minorHAnsi" w:hAnsiTheme="minorHAnsi"/>
          <w:b/>
          <w:bCs/>
        </w:rPr>
        <w:t xml:space="preserve">Question 1: </w:t>
      </w:r>
    </w:p>
    <w:p w14:paraId="4664B86E" w14:textId="6BE8C0F2" w:rsidR="001C40E0" w:rsidRPr="008E1307" w:rsidRDefault="00CC0B3D" w:rsidP="00F30DE9">
      <w:pPr>
        <w:pStyle w:val="BodyText"/>
        <w:spacing w:before="0" w:after="0"/>
        <w:rPr>
          <w:rFonts w:asciiTheme="minorHAnsi" w:hAnsiTheme="minorHAnsi"/>
        </w:rPr>
      </w:pPr>
      <w:r w:rsidRPr="008E1307">
        <w:rPr>
          <w:rFonts w:asciiTheme="minorHAnsi" w:hAnsiTheme="minorHAnsi"/>
        </w:rPr>
        <w:t>ER visits are negatively associated with costs (</w:t>
      </w:r>
      <w:proofErr w:type="spellStart"/>
      <w:r w:rsidR="00D20C47" w:rsidRPr="008E1307">
        <w:rPr>
          <w:rFonts w:asciiTheme="minorHAnsi" w:hAnsiTheme="minorHAnsi"/>
        </w:rPr>
        <w:t>r</w:t>
      </w:r>
      <w:r w:rsidR="00D20C47" w:rsidRPr="008E1307">
        <w:rPr>
          <w:rFonts w:asciiTheme="minorHAnsi" w:hAnsiTheme="minorHAnsi"/>
          <w:vertAlign w:val="subscript"/>
        </w:rPr>
        <w:t>s</w:t>
      </w:r>
      <w:proofErr w:type="spellEnd"/>
      <w:r w:rsidR="00D20C47" w:rsidRPr="008E1307">
        <w:rPr>
          <w:rFonts w:asciiTheme="minorHAnsi" w:hAnsiTheme="minorHAnsi"/>
          <w:vertAlign w:val="subscript"/>
        </w:rPr>
        <w:t xml:space="preserve"> </w:t>
      </w:r>
      <w:r w:rsidR="00D20C47" w:rsidRPr="008E1307">
        <w:rPr>
          <w:rFonts w:asciiTheme="minorHAnsi" w:hAnsiTheme="minorHAnsi"/>
        </w:rPr>
        <w:t>= -0.67)</w:t>
      </w:r>
    </w:p>
    <w:p w14:paraId="4F92AD6A" w14:textId="26CFC3EB" w:rsidR="00B220E5" w:rsidRPr="008E1307" w:rsidRDefault="00B220E5" w:rsidP="00F30DE9">
      <w:pPr>
        <w:pStyle w:val="BodyText"/>
        <w:spacing w:before="0" w:after="0"/>
        <w:rPr>
          <w:rFonts w:asciiTheme="minorHAnsi" w:hAnsiTheme="minorHAnsi"/>
        </w:rPr>
      </w:pPr>
      <w:r w:rsidRPr="008E1307">
        <w:rPr>
          <w:rFonts w:asciiTheme="minorHAnsi" w:hAnsiTheme="minorHAnsi"/>
        </w:rPr>
        <w:t>Patients with</w:t>
      </w:r>
      <w:r w:rsidRPr="008E1307">
        <w:rPr>
          <w:rFonts w:asciiTheme="minorHAnsi" w:hAnsiTheme="minorHAnsi"/>
        </w:rPr>
        <w:t xml:space="preserve"> high severity are </w:t>
      </w:r>
      <w:r w:rsidRPr="008E1307">
        <w:rPr>
          <w:rFonts w:asciiTheme="minorHAnsi" w:hAnsiTheme="minorHAnsi"/>
          <w:b/>
          <w:bCs/>
        </w:rPr>
        <w:t>significantly</w:t>
      </w:r>
      <w:r w:rsidRPr="008E1307">
        <w:rPr>
          <w:rFonts w:asciiTheme="minorHAnsi" w:hAnsiTheme="minorHAnsi"/>
        </w:rPr>
        <w:t xml:space="preserve"> more likely to have higher annual cost, regardless of the number of ER visits</w:t>
      </w:r>
      <w:r w:rsidR="009D15E7" w:rsidRPr="008E1307">
        <w:rPr>
          <w:rFonts w:asciiTheme="minorHAnsi" w:hAnsiTheme="minorHAnsi"/>
        </w:rPr>
        <w:t xml:space="preserve"> (see regression models in Section 1)</w:t>
      </w:r>
    </w:p>
    <w:p w14:paraId="0B9BE4FE" w14:textId="77777777" w:rsidR="009D15E7" w:rsidRPr="008E1307" w:rsidRDefault="009D15E7" w:rsidP="009D15E7">
      <w:pPr>
        <w:pStyle w:val="BodyText"/>
        <w:spacing w:before="0" w:after="0"/>
        <w:ind w:left="720"/>
        <w:rPr>
          <w:rFonts w:asciiTheme="minorHAnsi" w:hAnsiTheme="minorHAnsi"/>
        </w:rPr>
      </w:pPr>
    </w:p>
    <w:p w14:paraId="20BF6686" w14:textId="77777777" w:rsidR="00F30DE9" w:rsidRPr="008E1307" w:rsidRDefault="00847A4A" w:rsidP="00F30DE9">
      <w:pPr>
        <w:pStyle w:val="Heading4"/>
        <w:spacing w:before="0" w:after="0"/>
        <w:rPr>
          <w:rFonts w:asciiTheme="minorHAnsi" w:hAnsiTheme="minorHAnsi"/>
          <w:b/>
          <w:bCs/>
        </w:rPr>
      </w:pPr>
      <w:r w:rsidRPr="008E1307">
        <w:rPr>
          <w:rFonts w:asciiTheme="minorHAnsi" w:hAnsiTheme="minorHAnsi"/>
          <w:b/>
          <w:bCs/>
        </w:rPr>
        <w:t xml:space="preserve">Question 2: </w:t>
      </w:r>
    </w:p>
    <w:p w14:paraId="1865BF4F" w14:textId="5D4DE237" w:rsidR="00CB1A1E" w:rsidRPr="00CB1A1E" w:rsidRDefault="00B1702F" w:rsidP="00CB1A1E">
      <w:pPr>
        <w:pStyle w:val="Heading4"/>
        <w:spacing w:before="0"/>
        <w:rPr>
          <w:rFonts w:asciiTheme="minorHAnsi" w:hAnsiTheme="minorHAnsi"/>
          <w:i w:val="0"/>
          <w:iCs w:val="0"/>
        </w:rPr>
      </w:pPr>
      <w:r w:rsidRPr="008E1307">
        <w:rPr>
          <w:rFonts w:asciiTheme="minorHAnsi" w:hAnsiTheme="minorHAnsi"/>
          <w:i w:val="0"/>
          <w:iCs w:val="0"/>
        </w:rPr>
        <w:t xml:space="preserve">The raw data was imported into </w:t>
      </w:r>
      <w:proofErr w:type="gramStart"/>
      <w:r w:rsidRPr="008E1307">
        <w:rPr>
          <w:rFonts w:asciiTheme="minorHAnsi" w:hAnsiTheme="minorHAnsi"/>
          <w:i w:val="0"/>
          <w:iCs w:val="0"/>
        </w:rPr>
        <w:t>a</w:t>
      </w:r>
      <w:proofErr w:type="gramEnd"/>
      <w:r w:rsidRPr="008E1307">
        <w:rPr>
          <w:rFonts w:asciiTheme="minorHAnsi" w:hAnsiTheme="minorHAnsi"/>
          <w:i w:val="0"/>
          <w:iCs w:val="0"/>
        </w:rPr>
        <w:t xml:space="preserve"> SQLite database and accessed with:</w:t>
      </w:r>
    </w:p>
    <w:p w14:paraId="455F0ECB" w14:textId="77777777" w:rsidR="00A62575" w:rsidRPr="008E1307" w:rsidRDefault="009D15E7" w:rsidP="00A62575">
      <w:pPr>
        <w:pStyle w:val="BodyText"/>
        <w:spacing w:before="0" w:after="0"/>
        <w:rPr>
          <w:rFonts w:asciiTheme="minorHAnsi" w:hAnsiTheme="minorHAnsi"/>
        </w:rPr>
      </w:pPr>
      <w:r w:rsidRPr="008E1307">
        <w:rPr>
          <w:rFonts w:asciiTheme="minorHAnsi" w:hAnsiTheme="minorHAnsi"/>
        </w:rPr>
        <w:tab/>
      </w:r>
      <w:r w:rsidR="00A62575" w:rsidRPr="008E1307">
        <w:rPr>
          <w:rFonts w:asciiTheme="minorHAnsi" w:hAnsiTheme="minorHAnsi"/>
        </w:rPr>
        <w:t xml:space="preserve">SELECT </w:t>
      </w:r>
      <w:proofErr w:type="spellStart"/>
      <w:proofErr w:type="gramStart"/>
      <w:r w:rsidR="00A62575" w:rsidRPr="008E1307">
        <w:rPr>
          <w:rFonts w:asciiTheme="minorHAnsi" w:hAnsiTheme="minorHAnsi"/>
        </w:rPr>
        <w:t>healthDat</w:t>
      </w:r>
      <w:proofErr w:type="spellEnd"/>
      <w:r w:rsidR="00A62575" w:rsidRPr="008E1307">
        <w:rPr>
          <w:rFonts w:asciiTheme="minorHAnsi" w:hAnsiTheme="minorHAnsi"/>
        </w:rPr>
        <w:t>.*</w:t>
      </w:r>
      <w:proofErr w:type="gramEnd"/>
      <w:r w:rsidR="00A62575" w:rsidRPr="008E1307">
        <w:rPr>
          <w:rFonts w:asciiTheme="minorHAnsi" w:hAnsiTheme="minorHAnsi"/>
        </w:rPr>
        <w:t xml:space="preserve">, </w:t>
      </w:r>
      <w:proofErr w:type="spellStart"/>
      <w:r w:rsidR="00A62575" w:rsidRPr="008E1307">
        <w:rPr>
          <w:rFonts w:asciiTheme="minorHAnsi" w:hAnsiTheme="minorHAnsi"/>
        </w:rPr>
        <w:t>fl_zip.County</w:t>
      </w:r>
      <w:proofErr w:type="spellEnd"/>
      <w:r w:rsidR="00A62575" w:rsidRPr="008E1307">
        <w:rPr>
          <w:rFonts w:asciiTheme="minorHAnsi" w:hAnsiTheme="minorHAnsi"/>
        </w:rPr>
        <w:t xml:space="preserve">, </w:t>
      </w:r>
      <w:proofErr w:type="spellStart"/>
      <w:r w:rsidR="00A62575" w:rsidRPr="008E1307">
        <w:rPr>
          <w:rFonts w:asciiTheme="minorHAnsi" w:hAnsiTheme="minorHAnsi"/>
        </w:rPr>
        <w:t>fl_zip.City</w:t>
      </w:r>
      <w:proofErr w:type="spellEnd"/>
      <w:r w:rsidR="00A62575" w:rsidRPr="008E1307">
        <w:rPr>
          <w:rFonts w:asciiTheme="minorHAnsi" w:hAnsiTheme="minorHAnsi"/>
        </w:rPr>
        <w:t xml:space="preserve">, </w:t>
      </w:r>
    </w:p>
    <w:p w14:paraId="7667DDD8" w14:textId="3F4B433B" w:rsidR="00A62575" w:rsidRPr="008E1307" w:rsidRDefault="00A62575" w:rsidP="00A62575">
      <w:pPr>
        <w:pStyle w:val="BodyText"/>
        <w:spacing w:before="0" w:after="0"/>
        <w:ind w:firstLine="720"/>
        <w:rPr>
          <w:rFonts w:asciiTheme="minorHAnsi" w:hAnsiTheme="minorHAnsi"/>
        </w:rPr>
      </w:pPr>
      <w:r w:rsidRPr="008E1307">
        <w:rPr>
          <w:rFonts w:asciiTheme="minorHAnsi" w:hAnsiTheme="minorHAnsi"/>
        </w:rPr>
        <w:t xml:space="preserve">FROM </w:t>
      </w:r>
      <w:proofErr w:type="spellStart"/>
      <w:r w:rsidRPr="008E1307">
        <w:rPr>
          <w:rFonts w:asciiTheme="minorHAnsi" w:hAnsiTheme="minorHAnsi"/>
        </w:rPr>
        <w:t>healthDat</w:t>
      </w:r>
      <w:proofErr w:type="spellEnd"/>
      <w:r w:rsidRPr="008E1307">
        <w:rPr>
          <w:rFonts w:asciiTheme="minorHAnsi" w:hAnsiTheme="minorHAnsi"/>
        </w:rPr>
        <w:t xml:space="preserve"> </w:t>
      </w:r>
    </w:p>
    <w:p w14:paraId="7AB5B652" w14:textId="77777777" w:rsidR="00A62575" w:rsidRPr="008E1307" w:rsidRDefault="00A62575" w:rsidP="00A62575">
      <w:pPr>
        <w:pStyle w:val="BodyText"/>
        <w:spacing w:before="0" w:after="0"/>
        <w:ind w:firstLine="720"/>
        <w:rPr>
          <w:rFonts w:asciiTheme="minorHAnsi" w:hAnsiTheme="minorHAnsi"/>
        </w:rPr>
      </w:pPr>
      <w:r w:rsidRPr="008E1307">
        <w:rPr>
          <w:rFonts w:asciiTheme="minorHAnsi" w:hAnsiTheme="minorHAnsi"/>
        </w:rPr>
        <w:t xml:space="preserve">LEFT JOIN </w:t>
      </w:r>
      <w:proofErr w:type="spellStart"/>
      <w:r w:rsidRPr="008E1307">
        <w:rPr>
          <w:rFonts w:asciiTheme="minorHAnsi" w:hAnsiTheme="minorHAnsi"/>
        </w:rPr>
        <w:t>fl_zip</w:t>
      </w:r>
      <w:proofErr w:type="spellEnd"/>
      <w:r w:rsidRPr="008E1307">
        <w:rPr>
          <w:rFonts w:asciiTheme="minorHAnsi" w:hAnsiTheme="minorHAnsi"/>
        </w:rPr>
        <w:t xml:space="preserve"> </w:t>
      </w:r>
    </w:p>
    <w:p w14:paraId="7E1C9B4D" w14:textId="3DE78BDC" w:rsidR="00B1702F" w:rsidRPr="008E1307" w:rsidRDefault="00A62575" w:rsidP="004C61C7">
      <w:pPr>
        <w:pStyle w:val="BodyText"/>
        <w:spacing w:before="0" w:after="0"/>
        <w:ind w:firstLine="720"/>
        <w:rPr>
          <w:rFonts w:asciiTheme="minorHAnsi" w:hAnsiTheme="minorHAnsi"/>
        </w:rPr>
      </w:pPr>
      <w:r w:rsidRPr="008E1307">
        <w:rPr>
          <w:rFonts w:asciiTheme="minorHAnsi" w:hAnsiTheme="minorHAnsi"/>
        </w:rPr>
        <w:t xml:space="preserve">ON </w:t>
      </w:r>
      <w:proofErr w:type="spellStart"/>
      <w:r w:rsidRPr="008E1307">
        <w:rPr>
          <w:rFonts w:asciiTheme="minorHAnsi" w:hAnsiTheme="minorHAnsi"/>
        </w:rPr>
        <w:t>healthDat.Zip</w:t>
      </w:r>
      <w:proofErr w:type="spellEnd"/>
      <w:r w:rsidRPr="008E1307">
        <w:rPr>
          <w:rFonts w:asciiTheme="minorHAnsi" w:hAnsiTheme="minorHAnsi"/>
        </w:rPr>
        <w:t xml:space="preserve"> = </w:t>
      </w:r>
      <w:proofErr w:type="spellStart"/>
      <w:r w:rsidRPr="008E1307">
        <w:rPr>
          <w:rFonts w:asciiTheme="minorHAnsi" w:hAnsiTheme="minorHAnsi"/>
        </w:rPr>
        <w:t>fl_</w:t>
      </w:r>
      <w:proofErr w:type="gramStart"/>
      <w:r w:rsidRPr="008E1307">
        <w:rPr>
          <w:rFonts w:asciiTheme="minorHAnsi" w:hAnsiTheme="minorHAnsi"/>
        </w:rPr>
        <w:t>zip.Zip</w:t>
      </w:r>
      <w:proofErr w:type="spellEnd"/>
      <w:proofErr w:type="gramEnd"/>
      <w:r w:rsidRPr="008E1307">
        <w:rPr>
          <w:rFonts w:asciiTheme="minorHAnsi" w:hAnsiTheme="minorHAnsi"/>
        </w:rPr>
        <w:t>;</w:t>
      </w:r>
    </w:p>
    <w:p w14:paraId="444A8E8E" w14:textId="77777777" w:rsidR="00F30DE9" w:rsidRPr="008E1307" w:rsidRDefault="00F30DE9" w:rsidP="00F30DE9">
      <w:pPr>
        <w:pStyle w:val="Heading4"/>
        <w:spacing w:before="0" w:after="0"/>
        <w:rPr>
          <w:rFonts w:asciiTheme="minorHAnsi" w:hAnsiTheme="minorHAnsi"/>
          <w:i w:val="0"/>
          <w:iCs w:val="0"/>
        </w:rPr>
      </w:pPr>
    </w:p>
    <w:p w14:paraId="324BE462" w14:textId="0D0850FD" w:rsidR="004C61C7" w:rsidRPr="008E1307" w:rsidRDefault="00D23CE6" w:rsidP="00F30DE9">
      <w:pPr>
        <w:pStyle w:val="Heading4"/>
        <w:spacing w:before="0" w:after="0"/>
        <w:rPr>
          <w:rFonts w:asciiTheme="minorHAnsi" w:hAnsiTheme="minorHAnsi"/>
          <w:b/>
          <w:bCs/>
        </w:rPr>
      </w:pPr>
      <w:r w:rsidRPr="008E1307">
        <w:rPr>
          <w:rFonts w:asciiTheme="minorHAnsi" w:hAnsiTheme="minorHAnsi"/>
          <w:b/>
          <w:bCs/>
        </w:rPr>
        <w:t xml:space="preserve">Question 3: </w:t>
      </w:r>
    </w:p>
    <w:p w14:paraId="7A710933" w14:textId="23D18021" w:rsidR="00F30DE9" w:rsidRPr="008E1307" w:rsidRDefault="00C076ED" w:rsidP="00F511E7">
      <w:pPr>
        <w:pStyle w:val="BodyText"/>
        <w:spacing w:before="0" w:after="0"/>
        <w:rPr>
          <w:rFonts w:asciiTheme="minorHAnsi" w:hAnsiTheme="minorHAnsi"/>
        </w:rPr>
      </w:pPr>
      <w:r w:rsidRPr="008E1307">
        <w:rPr>
          <w:rFonts w:asciiTheme="minorHAnsi" w:hAnsiTheme="minorHAnsi"/>
        </w:rPr>
        <w:t>C</w:t>
      </w:r>
      <w:r w:rsidR="00F30DE9" w:rsidRPr="008E1307">
        <w:rPr>
          <w:rFonts w:asciiTheme="minorHAnsi" w:hAnsiTheme="minorHAnsi"/>
        </w:rPr>
        <w:t>hronic conditions by</w:t>
      </w:r>
      <w:r w:rsidR="002B77C2" w:rsidRPr="008E1307">
        <w:rPr>
          <w:rFonts w:asciiTheme="minorHAnsi" w:hAnsiTheme="minorHAnsi"/>
        </w:rPr>
        <w:t xml:space="preserve"> significantly different by age groups</w:t>
      </w:r>
      <w:r w:rsidR="00F30DE9" w:rsidRPr="008E1307">
        <w:rPr>
          <w:rFonts w:asciiTheme="minorHAnsi" w:hAnsiTheme="minorHAnsi"/>
        </w:rPr>
        <w:t>.</w:t>
      </w:r>
    </w:p>
    <w:p w14:paraId="374270A4" w14:textId="77777777" w:rsidR="00F511E7" w:rsidRPr="008E1307" w:rsidRDefault="00F30DE9" w:rsidP="00F511E7">
      <w:pPr>
        <w:pStyle w:val="BodyText"/>
        <w:spacing w:before="0" w:after="0"/>
        <w:rPr>
          <w:rFonts w:asciiTheme="minorHAnsi" w:hAnsiTheme="minorHAnsi"/>
        </w:rPr>
      </w:pPr>
      <w:r w:rsidRPr="008E1307">
        <w:rPr>
          <w:rFonts w:asciiTheme="minorHAnsi" w:hAnsiTheme="minorHAnsi"/>
        </w:rPr>
        <w:t>Co</w:t>
      </w:r>
      <w:r w:rsidR="002B77C2" w:rsidRPr="008E1307">
        <w:rPr>
          <w:rFonts w:asciiTheme="minorHAnsi" w:hAnsiTheme="minorHAnsi"/>
        </w:rPr>
        <w:t>sts are concentrated</w:t>
      </w:r>
      <w:r w:rsidRPr="008E1307">
        <w:rPr>
          <w:rFonts w:asciiTheme="minorHAnsi" w:hAnsiTheme="minorHAnsi"/>
        </w:rPr>
        <w:t xml:space="preserve"> within working age, marketplace eligible beneficiaries.</w:t>
      </w:r>
    </w:p>
    <w:p w14:paraId="135010C8" w14:textId="7E950DE1" w:rsidR="00F30DE9" w:rsidRPr="008E1307" w:rsidRDefault="00AE172C" w:rsidP="00F511E7">
      <w:pPr>
        <w:pStyle w:val="BodyText"/>
        <w:spacing w:before="0" w:after="0"/>
        <w:rPr>
          <w:rFonts w:asciiTheme="minorHAnsi" w:hAnsiTheme="minorHAnsi"/>
        </w:rPr>
      </w:pPr>
      <w:r w:rsidRPr="008E1307">
        <w:rPr>
          <w:rFonts w:asciiTheme="minorHAnsi" w:hAnsiTheme="minorHAnsi"/>
        </w:rPr>
        <w:t xml:space="preserve">Data-driven </w:t>
      </w:r>
      <w:r w:rsidR="00F30DE9" w:rsidRPr="008E1307">
        <w:rPr>
          <w:rFonts w:asciiTheme="minorHAnsi" w:hAnsiTheme="minorHAnsi"/>
        </w:rPr>
        <w:t xml:space="preserve">approaches </w:t>
      </w:r>
      <w:r w:rsidRPr="008E1307">
        <w:rPr>
          <w:rFonts w:asciiTheme="minorHAnsi" w:hAnsiTheme="minorHAnsi"/>
        </w:rPr>
        <w:t>for population specific cost</w:t>
      </w:r>
      <w:r w:rsidR="00F30DE9" w:rsidRPr="008E1307">
        <w:rPr>
          <w:rFonts w:asciiTheme="minorHAnsi" w:hAnsiTheme="minorHAnsi"/>
        </w:rPr>
        <w:t xml:space="preserve"> </w:t>
      </w:r>
      <w:r w:rsidRPr="008E1307">
        <w:rPr>
          <w:rFonts w:asciiTheme="minorHAnsi" w:hAnsiTheme="minorHAnsi"/>
        </w:rPr>
        <w:t>reductions</w:t>
      </w:r>
      <w:r w:rsidR="00377242" w:rsidRPr="008E1307">
        <w:rPr>
          <w:rFonts w:asciiTheme="minorHAnsi" w:hAnsiTheme="minorHAnsi"/>
        </w:rPr>
        <w:t xml:space="preserve"> </w:t>
      </w:r>
      <w:r w:rsidR="00867C43" w:rsidRPr="008E1307">
        <w:rPr>
          <w:rFonts w:asciiTheme="minorHAnsi" w:hAnsiTheme="minorHAnsi"/>
        </w:rPr>
        <w:t xml:space="preserve">designed to reduce inpatient hospital visits </w:t>
      </w:r>
      <w:r w:rsidRPr="008E1307">
        <w:rPr>
          <w:rFonts w:asciiTheme="minorHAnsi" w:hAnsiTheme="minorHAnsi"/>
        </w:rPr>
        <w:t>include:</w:t>
      </w:r>
    </w:p>
    <w:p w14:paraId="280A076A" w14:textId="1183E15A" w:rsidR="00AE172C" w:rsidRPr="008E1307" w:rsidRDefault="008C3930" w:rsidP="00C72EEE">
      <w:pPr>
        <w:pStyle w:val="BodyText"/>
        <w:spacing w:before="0" w:after="0"/>
        <w:ind w:left="720"/>
        <w:rPr>
          <w:rFonts w:asciiTheme="minorHAnsi" w:hAnsiTheme="minorHAnsi"/>
        </w:rPr>
      </w:pPr>
      <w:r w:rsidRPr="008E1307">
        <w:rPr>
          <w:rFonts w:asciiTheme="minorHAnsi" w:hAnsiTheme="minorHAnsi"/>
        </w:rPr>
        <w:t xml:space="preserve">30-64: </w:t>
      </w:r>
      <w:r w:rsidR="002C49C3" w:rsidRPr="008E1307">
        <w:rPr>
          <w:rFonts w:asciiTheme="minorHAnsi" w:hAnsiTheme="minorHAnsi"/>
        </w:rPr>
        <w:t>B</w:t>
      </w:r>
      <w:r w:rsidR="00377242" w:rsidRPr="008E1307">
        <w:rPr>
          <w:rFonts w:asciiTheme="minorHAnsi" w:hAnsiTheme="minorHAnsi"/>
        </w:rPr>
        <w:t>road e</w:t>
      </w:r>
      <w:r w:rsidR="00C812D0" w:rsidRPr="008E1307">
        <w:rPr>
          <w:rFonts w:asciiTheme="minorHAnsi" w:hAnsiTheme="minorHAnsi"/>
        </w:rPr>
        <w:t>xpansion of</w:t>
      </w:r>
      <w:r w:rsidRPr="008E1307">
        <w:rPr>
          <w:rFonts w:asciiTheme="minorHAnsi" w:hAnsiTheme="minorHAnsi"/>
        </w:rPr>
        <w:t xml:space="preserve"> </w:t>
      </w:r>
      <w:r w:rsidR="002C49C3" w:rsidRPr="008E1307">
        <w:rPr>
          <w:rFonts w:asciiTheme="minorHAnsi" w:hAnsiTheme="minorHAnsi"/>
        </w:rPr>
        <w:t>h</w:t>
      </w:r>
      <w:r w:rsidR="002C49C3" w:rsidRPr="008E1307">
        <w:rPr>
          <w:rFonts w:asciiTheme="minorHAnsi" w:hAnsiTheme="minorHAnsi"/>
        </w:rPr>
        <w:t>igh</w:t>
      </w:r>
      <w:r w:rsidR="00796BE3" w:rsidRPr="008E1307">
        <w:rPr>
          <w:rFonts w:asciiTheme="minorHAnsi" w:hAnsiTheme="minorHAnsi"/>
        </w:rPr>
        <w:t>-</w:t>
      </w:r>
      <w:r w:rsidR="002C49C3" w:rsidRPr="008E1307">
        <w:rPr>
          <w:rFonts w:asciiTheme="minorHAnsi" w:hAnsiTheme="minorHAnsi"/>
        </w:rPr>
        <w:t xml:space="preserve">value </w:t>
      </w:r>
      <w:r w:rsidR="00796BE3" w:rsidRPr="008E1307">
        <w:rPr>
          <w:rFonts w:asciiTheme="minorHAnsi" w:hAnsiTheme="minorHAnsi"/>
        </w:rPr>
        <w:t>primary care</w:t>
      </w:r>
      <w:r w:rsidR="00377242" w:rsidRPr="008E1307">
        <w:rPr>
          <w:rFonts w:asciiTheme="minorHAnsi" w:hAnsiTheme="minorHAnsi"/>
        </w:rPr>
        <w:t xml:space="preserve"> w/ reduced PCP-copay </w:t>
      </w:r>
      <w:r w:rsidR="00796BE3" w:rsidRPr="008E1307">
        <w:rPr>
          <w:rFonts w:asciiTheme="minorHAnsi" w:hAnsiTheme="minorHAnsi"/>
        </w:rPr>
        <w:t xml:space="preserve">to </w:t>
      </w:r>
      <w:r w:rsidR="00C72EEE" w:rsidRPr="008E1307">
        <w:rPr>
          <w:rFonts w:asciiTheme="minorHAnsi" w:hAnsiTheme="minorHAnsi"/>
        </w:rPr>
        <w:t>assist in chronic disease prevention</w:t>
      </w:r>
    </w:p>
    <w:p w14:paraId="2399D9AE" w14:textId="64849C74" w:rsidR="00C812D0" w:rsidRPr="008E1307" w:rsidRDefault="00C812D0" w:rsidP="00796BE3">
      <w:pPr>
        <w:pStyle w:val="BodyText"/>
        <w:spacing w:before="0" w:after="0"/>
        <w:ind w:left="720"/>
        <w:rPr>
          <w:rFonts w:asciiTheme="minorHAnsi" w:hAnsiTheme="minorHAnsi"/>
        </w:rPr>
      </w:pPr>
      <w:r w:rsidRPr="008E1307">
        <w:rPr>
          <w:rFonts w:asciiTheme="minorHAnsi" w:hAnsiTheme="minorHAnsi"/>
        </w:rPr>
        <w:t>65+</w:t>
      </w:r>
      <w:r w:rsidRPr="008E1307">
        <w:rPr>
          <w:rFonts w:asciiTheme="minorHAnsi" w:hAnsiTheme="minorHAnsi"/>
        </w:rPr>
        <w:t xml:space="preserve">: </w:t>
      </w:r>
      <w:r w:rsidR="002C49C3" w:rsidRPr="008E1307">
        <w:rPr>
          <w:rFonts w:asciiTheme="minorHAnsi" w:hAnsiTheme="minorHAnsi"/>
        </w:rPr>
        <w:t>Introduce</w:t>
      </w:r>
      <w:r w:rsidR="00867C43" w:rsidRPr="008E1307">
        <w:rPr>
          <w:rFonts w:asciiTheme="minorHAnsi" w:hAnsiTheme="minorHAnsi"/>
        </w:rPr>
        <w:t xml:space="preserve"> focused </w:t>
      </w:r>
      <w:proofErr w:type="gramStart"/>
      <w:r w:rsidR="00796BE3" w:rsidRPr="008E1307">
        <w:rPr>
          <w:rFonts w:asciiTheme="minorHAnsi" w:hAnsiTheme="minorHAnsi"/>
        </w:rPr>
        <w:t>low cost</w:t>
      </w:r>
      <w:proofErr w:type="gramEnd"/>
      <w:r w:rsidR="00867C43" w:rsidRPr="008E1307">
        <w:rPr>
          <w:rFonts w:asciiTheme="minorHAnsi" w:hAnsiTheme="minorHAnsi"/>
        </w:rPr>
        <w:t xml:space="preserve"> </w:t>
      </w:r>
      <w:r w:rsidR="002B1874" w:rsidRPr="008E1307">
        <w:rPr>
          <w:rFonts w:asciiTheme="minorHAnsi" w:hAnsiTheme="minorHAnsi"/>
        </w:rPr>
        <w:t xml:space="preserve">emergency care w/out copay to prevent hospitalization for acute </w:t>
      </w:r>
      <w:r w:rsidR="00796BE3" w:rsidRPr="008E1307">
        <w:rPr>
          <w:rFonts w:asciiTheme="minorHAnsi" w:hAnsiTheme="minorHAnsi"/>
        </w:rPr>
        <w:t>issues</w:t>
      </w:r>
    </w:p>
    <w:p w14:paraId="13B3285B" w14:textId="6040AD4B" w:rsidR="00377242" w:rsidRPr="008E1307" w:rsidRDefault="00377242" w:rsidP="00F30DE9">
      <w:pPr>
        <w:pStyle w:val="BodyText"/>
        <w:spacing w:before="0" w:after="0"/>
        <w:rPr>
          <w:rFonts w:asciiTheme="minorHAnsi" w:hAnsiTheme="minorHAnsi"/>
        </w:rPr>
      </w:pPr>
    </w:p>
    <w:p w14:paraId="423FD192" w14:textId="0AD5EA2E" w:rsidR="00D23CE6" w:rsidRPr="008E1307" w:rsidRDefault="00D23CE6" w:rsidP="00F511E7">
      <w:pPr>
        <w:pStyle w:val="BodyText"/>
        <w:spacing w:before="0" w:after="0"/>
        <w:rPr>
          <w:rFonts w:asciiTheme="minorHAnsi" w:hAnsiTheme="minorHAnsi"/>
        </w:rPr>
      </w:pPr>
      <w:r w:rsidRPr="008E1307">
        <w:rPr>
          <w:rFonts w:asciiTheme="minorHAnsi" w:hAnsiTheme="minorHAnsi"/>
          <w:b/>
          <w:bCs/>
          <w:i/>
          <w:iCs/>
        </w:rPr>
        <w:t xml:space="preserve">Question 4: </w:t>
      </w:r>
    </w:p>
    <w:p w14:paraId="0BBB823E" w14:textId="2A98E226" w:rsidR="004C61C7" w:rsidRPr="008E1307" w:rsidRDefault="004C61C7" w:rsidP="004C61C7">
      <w:pPr>
        <w:pStyle w:val="Heading5"/>
        <w:spacing w:before="0" w:after="0"/>
        <w:rPr>
          <w:rFonts w:asciiTheme="minorHAnsi" w:hAnsiTheme="minorHAnsi"/>
          <w:b w:val="0"/>
          <w:bCs w:val="0"/>
          <w:i w:val="0"/>
          <w:iCs w:val="0"/>
        </w:rPr>
      </w:pPr>
      <w:r w:rsidRPr="008E1307">
        <w:rPr>
          <w:rFonts w:asciiTheme="minorHAnsi" w:hAnsiTheme="minorHAnsi"/>
          <w:b w:val="0"/>
          <w:bCs w:val="0"/>
          <w:i w:val="0"/>
          <w:iCs w:val="0"/>
        </w:rPr>
        <w:t xml:space="preserve">Crude prevalence: Asthma, Hypertension, and Hyperlipidemia </w:t>
      </w:r>
    </w:p>
    <w:p w14:paraId="33804749" w14:textId="5A04987F" w:rsidR="004C61C7" w:rsidRPr="008E1307" w:rsidRDefault="004C61C7" w:rsidP="00F30DE9">
      <w:pPr>
        <w:pStyle w:val="Heading5"/>
        <w:spacing w:before="0" w:after="0"/>
        <w:rPr>
          <w:rFonts w:asciiTheme="minorHAnsi" w:hAnsiTheme="minorHAnsi"/>
          <w:b w:val="0"/>
          <w:bCs w:val="0"/>
          <w:i w:val="0"/>
          <w:iCs w:val="0"/>
        </w:rPr>
      </w:pPr>
      <w:r w:rsidRPr="008E1307">
        <w:rPr>
          <w:rFonts w:asciiTheme="minorHAnsi" w:hAnsiTheme="minorHAnsi"/>
          <w:b w:val="0"/>
          <w:bCs w:val="0"/>
          <w:i w:val="0"/>
          <w:iCs w:val="0"/>
        </w:rPr>
        <w:t>Area-adjusted prevalence: Asthma</w:t>
      </w:r>
      <w:r w:rsidR="00F30DE9" w:rsidRPr="008E1307">
        <w:rPr>
          <w:rFonts w:asciiTheme="minorHAnsi" w:hAnsiTheme="minorHAnsi"/>
          <w:b w:val="0"/>
          <w:bCs w:val="0"/>
          <w:i w:val="0"/>
          <w:iCs w:val="0"/>
        </w:rPr>
        <w:t>,</w:t>
      </w:r>
      <w:r w:rsidRPr="008E1307">
        <w:rPr>
          <w:rFonts w:asciiTheme="minorHAnsi" w:hAnsiTheme="minorHAnsi"/>
          <w:b w:val="0"/>
          <w:bCs w:val="0"/>
          <w:i w:val="0"/>
          <w:iCs w:val="0"/>
        </w:rPr>
        <w:t xml:space="preserve"> Hypertension, and Hyperlipidemia</w:t>
      </w:r>
    </w:p>
    <w:p w14:paraId="5B3B8F4A" w14:textId="4B859158" w:rsidR="004C61C7" w:rsidRPr="008E1307" w:rsidRDefault="004C61C7" w:rsidP="00F30DE9">
      <w:pPr>
        <w:pStyle w:val="BodyText"/>
        <w:spacing w:before="0" w:after="0"/>
        <w:rPr>
          <w:rFonts w:asciiTheme="minorHAnsi" w:hAnsiTheme="minorHAnsi"/>
        </w:rPr>
      </w:pPr>
      <w:r w:rsidRPr="008E1307">
        <w:rPr>
          <w:rFonts w:asciiTheme="minorHAnsi" w:hAnsiTheme="minorHAnsi"/>
        </w:rPr>
        <w:t xml:space="preserve">Age-adjusted prevalence: Heart Failure, Asthma, and </w:t>
      </w:r>
      <w:proofErr w:type="gramStart"/>
      <w:r w:rsidRPr="008E1307">
        <w:rPr>
          <w:rFonts w:asciiTheme="minorHAnsi" w:hAnsiTheme="minorHAnsi"/>
        </w:rPr>
        <w:t>Ischemic Heart Disease</w:t>
      </w:r>
      <w:proofErr w:type="gramEnd"/>
    </w:p>
    <w:p w14:paraId="00A1C69E" w14:textId="77777777" w:rsidR="00F511E7" w:rsidRPr="008E1307" w:rsidRDefault="00F511E7" w:rsidP="00F30DE9">
      <w:pPr>
        <w:pStyle w:val="BodyText"/>
        <w:spacing w:before="0" w:after="0"/>
        <w:rPr>
          <w:rFonts w:asciiTheme="minorHAnsi" w:hAnsiTheme="minorHAnsi"/>
        </w:rPr>
      </w:pPr>
    </w:p>
    <w:p w14:paraId="0628521B" w14:textId="77777777" w:rsidR="009F45C8" w:rsidRPr="008E1307" w:rsidRDefault="00F511E7" w:rsidP="009F45C8">
      <w:pPr>
        <w:pStyle w:val="BodyText"/>
        <w:spacing w:before="0" w:after="0"/>
        <w:rPr>
          <w:rFonts w:asciiTheme="minorHAnsi" w:hAnsiTheme="minorHAnsi"/>
          <w:b/>
          <w:bCs/>
          <w:i/>
          <w:iCs/>
        </w:rPr>
      </w:pPr>
      <w:r w:rsidRPr="008E1307">
        <w:rPr>
          <w:rFonts w:asciiTheme="minorHAnsi" w:hAnsiTheme="minorHAnsi"/>
          <w:b/>
          <w:bCs/>
          <w:i/>
          <w:iCs/>
        </w:rPr>
        <w:t xml:space="preserve">Question </w:t>
      </w:r>
      <w:r w:rsidRPr="008E1307">
        <w:rPr>
          <w:rFonts w:asciiTheme="minorHAnsi" w:hAnsiTheme="minorHAnsi"/>
          <w:b/>
          <w:bCs/>
          <w:i/>
          <w:iCs/>
        </w:rPr>
        <w:t>5</w:t>
      </w:r>
      <w:r w:rsidRPr="008E1307">
        <w:rPr>
          <w:rFonts w:asciiTheme="minorHAnsi" w:hAnsiTheme="minorHAnsi"/>
          <w:b/>
          <w:bCs/>
          <w:i/>
          <w:iCs/>
        </w:rPr>
        <w:t>:</w:t>
      </w:r>
    </w:p>
    <w:p w14:paraId="3885902C" w14:textId="6410A67B" w:rsidR="00F511E7" w:rsidRPr="008E1307" w:rsidRDefault="009F45C8" w:rsidP="009F45C8">
      <w:pPr>
        <w:pStyle w:val="BodyText"/>
        <w:spacing w:before="0" w:after="0"/>
        <w:rPr>
          <w:rFonts w:asciiTheme="minorHAnsi" w:hAnsiTheme="minorHAnsi"/>
        </w:rPr>
      </w:pPr>
      <w:r w:rsidRPr="008E1307">
        <w:rPr>
          <w:rFonts w:asciiTheme="minorHAnsi" w:hAnsiTheme="minorHAnsi"/>
        </w:rPr>
        <w:t xml:space="preserve">See </w:t>
      </w:r>
      <w:r w:rsidR="00E94D83">
        <w:rPr>
          <w:rFonts w:asciiTheme="minorHAnsi" w:hAnsiTheme="minorHAnsi"/>
        </w:rPr>
        <w:t xml:space="preserve">attachments and </w:t>
      </w:r>
      <w:r w:rsidR="000C2E37">
        <w:rPr>
          <w:rFonts w:asciiTheme="minorHAnsi" w:hAnsiTheme="minorHAnsi"/>
        </w:rPr>
        <w:t>files.</w:t>
      </w:r>
      <w:r w:rsidR="00F511E7" w:rsidRPr="008E1307">
        <w:rPr>
          <w:rFonts w:asciiTheme="minorHAnsi" w:hAnsiTheme="minorHAnsi"/>
          <w:i/>
          <w:iCs/>
        </w:rPr>
        <w:t xml:space="preserve"> </w:t>
      </w:r>
    </w:p>
    <w:p w14:paraId="16D13348" w14:textId="77777777" w:rsidR="00CF536E" w:rsidRPr="008E1307" w:rsidRDefault="00CF536E">
      <w:pPr>
        <w:spacing w:after="0"/>
        <w:rPr>
          <w:rFonts w:asciiTheme="minorHAnsi" w:eastAsia="Times New Roman" w:hAnsiTheme="minorHAnsi" w:cs="Calibri"/>
          <w:b/>
          <w:bCs/>
          <w:color w:val="000000"/>
        </w:rPr>
      </w:pPr>
      <w:r w:rsidRPr="008E1307">
        <w:rPr>
          <w:rFonts w:asciiTheme="minorHAnsi" w:hAnsiTheme="minorHAnsi"/>
        </w:rPr>
        <w:br w:type="page"/>
      </w:r>
    </w:p>
    <w:p w14:paraId="1AF1B72B" w14:textId="41E8B0BE" w:rsidR="00060DF9" w:rsidRPr="008E1307" w:rsidRDefault="00CF536E" w:rsidP="005C6E67">
      <w:pPr>
        <w:pStyle w:val="Heading3"/>
        <w:rPr>
          <w:rFonts w:asciiTheme="minorHAnsi" w:hAnsiTheme="minorHAnsi"/>
        </w:rPr>
      </w:pPr>
      <w:r w:rsidRPr="008E1307">
        <w:rPr>
          <w:rFonts w:asciiTheme="minorHAnsi" w:hAnsiTheme="minorHAnsi"/>
        </w:rPr>
        <w:lastRenderedPageBreak/>
        <w:t xml:space="preserve">Section 1: </w:t>
      </w:r>
      <w:r w:rsidR="00987EB3" w:rsidRPr="008E1307">
        <w:rPr>
          <w:rFonts w:asciiTheme="minorHAnsi" w:hAnsiTheme="minorHAnsi"/>
        </w:rPr>
        <w:t>E</w:t>
      </w:r>
      <w:r w:rsidR="001B2E69" w:rsidRPr="008E1307">
        <w:rPr>
          <w:rFonts w:asciiTheme="minorHAnsi" w:hAnsiTheme="minorHAnsi"/>
        </w:rPr>
        <w:t>mergency Room</w:t>
      </w:r>
      <w:r w:rsidR="001763D7" w:rsidRPr="008E1307">
        <w:rPr>
          <w:rFonts w:asciiTheme="minorHAnsi" w:hAnsiTheme="minorHAnsi"/>
        </w:rPr>
        <w:t xml:space="preserve"> Visits and Overall Patient Cost</w:t>
      </w:r>
    </w:p>
    <w:p w14:paraId="5A166A60" w14:textId="71FE2196" w:rsidR="001B2E69" w:rsidRPr="008E1307" w:rsidRDefault="001B2E69" w:rsidP="00423BBD">
      <w:pPr>
        <w:pStyle w:val="Heading4"/>
        <w:rPr>
          <w:rFonts w:asciiTheme="minorHAnsi" w:hAnsiTheme="minorHAnsi"/>
        </w:rPr>
      </w:pPr>
      <w:r w:rsidRPr="008E1307">
        <w:rPr>
          <w:rFonts w:asciiTheme="minorHAnsi" w:hAnsiTheme="minorHAnsi"/>
        </w:rPr>
        <w:t xml:space="preserve">Question 1: Using the ER.csv file, please describe the relationship between cost and the number of ER visits. </w:t>
      </w:r>
    </w:p>
    <w:p w14:paraId="7DF5A0AB" w14:textId="0F8CD9D4" w:rsidR="001763D7" w:rsidRPr="008E1307" w:rsidRDefault="001763D7" w:rsidP="005C6E67">
      <w:pPr>
        <w:pStyle w:val="BodyText"/>
        <w:rPr>
          <w:rFonts w:asciiTheme="minorHAnsi" w:hAnsiTheme="minorHAnsi"/>
        </w:rPr>
      </w:pPr>
      <w:r w:rsidRPr="008E1307">
        <w:rPr>
          <w:rFonts w:asciiTheme="minorHAnsi" w:hAnsiTheme="minorHAnsi"/>
        </w:rPr>
        <w:t xml:space="preserve">Emergency care is </w:t>
      </w:r>
      <w:r w:rsidR="005265C1" w:rsidRPr="008E1307">
        <w:rPr>
          <w:rFonts w:asciiTheme="minorHAnsi" w:hAnsiTheme="minorHAnsi"/>
        </w:rPr>
        <w:t>significantly more expensive than many other forms of inpatient or outpatient care in the U.S</w:t>
      </w:r>
      <w:r w:rsidR="0009320F">
        <w:rPr>
          <w:rFonts w:asciiTheme="minorHAnsi" w:hAnsiTheme="minorHAnsi"/>
        </w:rPr>
        <w:fldChar w:fldCharType="begin"/>
      </w:r>
      <w:r w:rsidR="00FA3DDE">
        <w:rPr>
          <w:rFonts w:asciiTheme="minorHAnsi" w:hAnsiTheme="minorHAnsi"/>
        </w:rPr>
        <w:instrText>ADDIN F1000_CSL_CITATION&lt;~#@#~&gt;[{"title":"Effect of managed care on emergency department use in an uninsured population.","id":"9052394","page":"166-173","type":"article-journal","volume":"43","issue":"2","author":[{"family":"Kwack","given":"Heemun"},{"family":"Sklar","given":"David"},{"family":"Skipper","given":"Betty"},{"family":"Kaufman","given":"Arthur"},{"family":"Fingado","given":"Elizabeth"},{"family":"Hauswald","given":"Mark"}],"issued":{"date-parts":[["2004","2"]]},"container-title":"Annals of Emergency Medicine","container-title-short":"Ann. Emerg. Med.","journalAbbreviation":"Ann. Emerg. Med.","DOI":"10.1016/j.annemergmed.2003.09.010","PMID":"14747802","Default":true,"citation-label":"9052394","jurisdiction":"","Abstract":"&lt;strong&gt;STUDY OBJECTIVE:&lt;/strong&gt; The use of managed care to decrease emergency department (ED) use has been reported with some success among Medicaid and insured populations. Our objective is to determine the effect of a managed care program (the \"Program\") for uninsured patients on their use of emergency, inpatient, and outpatient services.&lt;br&gt;&lt;br&gt;&lt;strong&gt;METHODS:&lt;/strong&gt; This was a retrospective, observational study with 3 groups of patients at an urban, academic medical center: uninsured patients enrolled in the Program, uninsured patients not enrolled in the Program (\"Uninsured\"), and commercially insured (\"Commercial\") patients. All patients received services at least once annually during the 5-year study duration. Administrative databases provided data on ED visits, hospital discharges, hospital days, primary care visits, and specialty care visits during the preprogram and 4 postprogram years.&lt;br&gt;&lt;br&gt;&lt;strong&gt;RESULTS:&lt;/strong&gt; There were 1,676 Program, 335 Uninsured, and 844 Commercial patients (2,855 total patients). Use of emergency, inpatient, and outpatient specialty clinics by all groups did not change significantly after program implementation. There was a modest increase in outpatient primary care use by Program members.&lt;br&gt;&lt;br&gt;&lt;strong&gt;CONCLUSION:&lt;/strong&gt; Implementation of a managed care program did not significantly alter ED or inpatient hospital use patterns in an uninsured, indigent population. Providing a primary care provider and health care benefits alone was insufficient to reduce ED use in this population.","CleanAbstract":"STUDY OBJECTIVE: The use of managed care to decrease emergency department (ED) use has been reported with some success among Medicaid and insured populations. Our objective is to determine the effect of a managed care program (the \"Program\") for uninsured patients on their use of emergency, inpatient, and outpatient services.METHODS: This was a retrospective, observational study with 3 groups of patients at an urban, academic medical center: uninsured patients enrolled in the Program, uninsured patients not enrolled in the Program (\"Uninsured\"), and commercially insured (\"Commercial\") patients. All patients received services at least once annually during the 5-year study duration. Administrative databases provided data on ED visits, hospital discharges, hospital days, primary care visits, and specialty care visits during the preprogram and 4 postprogram years.RESULTS: There were 1,676 Program, 335 Uninsured, and 844 Commercial patients (2,855 total patients). Use of emergency, inpatient, and outpatient specialty clinics by all groups did not change significantly after program implementation. There was a modest increase in outpatient primary care use by Program members.CONCLUSION: Implementation of a managed care program did not significantly alter ED or inpatient hospital use patterns in an uninsured, indigent population. Providing a primary care provider and health care benefits alone was insufficient to reduce ED use in this population."},{"title":"The effectiveness of emergency department visit reduction programs: A systematic review.","id":"1788114","page":"467-483.e15","type":"article-journal","volume":"68","issue":"4","author":[{"family":"Raven","given":"Maria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Med.","DOI":"10.1016/j.annemergmed.2016.04.015","PMID":"27287549","Default":true,"citation-label":"1788114","jurisdiction":"","Abstract":"&lt;strong&gt;STUDY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reserved."},{"title":"Frequent users of emergency departments: the myths, the data, and the policy implications.","id":"3569141","page":"42-48","type":"article-journal","volume":"56","issue":"1","author":[{"family":"LaCalle","given":"Eduardo"},{"family":"Rabin","given":"Elaine"}],"issued":{"date-parts":[["2010","7"]]},"container-title":"Annals of Emergency Medicine","container-title-short":"Ann. Emerg. Med.","journalAbbreviation":"Ann. Emerg. Med.","DOI":"10.1016/j.annemergmed.2010.01.032","PMID":"20346540","Default":true,"citation-label":"3569141","jurisdiction":"","Abstract":"&lt;strong&gt;STUDY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reserved."},{"title":"Effectiveness of interventions to decrease emergency department visits by adult frequent users: A systematic review.","id":"4340715","page":"40-52","type":"article-journal","volume":"24","issue":"1","author":[{"family":"Moe","given":"Jessica"},{"family":"Kirkland","given":"Scott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Med.","DOI":"10.1111/acem.13060","PMID":"27473387","Default":true,"citation-label":"4340715","jurisdiction":"","Abstract":"&lt;strong&gt;OBJECTIVES:&lt;/strong&gt;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w:instrText>
      </w:r>
      <w:r w:rsidR="0009320F">
        <w:rPr>
          <w:rFonts w:asciiTheme="minorHAnsi" w:hAnsiTheme="minorHAnsi"/>
        </w:rPr>
        <w:fldChar w:fldCharType="separate"/>
      </w:r>
      <w:r w:rsidR="00FA3DDE">
        <w:rPr>
          <w:rFonts w:asciiTheme="minorHAnsi" w:hAnsiTheme="minorHAnsi"/>
        </w:rPr>
        <w:t>(1–4)</w:t>
      </w:r>
      <w:r w:rsidR="0009320F">
        <w:rPr>
          <w:rFonts w:asciiTheme="minorHAnsi" w:hAnsiTheme="minorHAnsi"/>
        </w:rPr>
        <w:fldChar w:fldCharType="end"/>
      </w:r>
      <w:r w:rsidR="005265C1" w:rsidRPr="008E1307">
        <w:rPr>
          <w:rFonts w:asciiTheme="minorHAnsi" w:hAnsiTheme="minorHAnsi"/>
        </w:rPr>
        <w:t xml:space="preserve">. Because of this cost, </w:t>
      </w:r>
      <w:r w:rsidR="00481C62" w:rsidRPr="008E1307">
        <w:rPr>
          <w:rFonts w:asciiTheme="minorHAnsi" w:hAnsiTheme="minorHAnsi"/>
        </w:rPr>
        <w:t>patients that frequently utilize</w:t>
      </w:r>
      <w:r w:rsidR="00413338" w:rsidRPr="008E1307">
        <w:rPr>
          <w:rFonts w:asciiTheme="minorHAnsi" w:hAnsiTheme="minorHAnsi"/>
        </w:rPr>
        <w:t xml:space="preserve"> the</w:t>
      </w:r>
      <w:r w:rsidR="00481C62" w:rsidRPr="008E1307">
        <w:rPr>
          <w:rFonts w:asciiTheme="minorHAnsi" w:hAnsiTheme="minorHAnsi"/>
        </w:rPr>
        <w:t xml:space="preserve"> E</w:t>
      </w:r>
      <w:r w:rsidR="00413338" w:rsidRPr="008E1307">
        <w:rPr>
          <w:rFonts w:asciiTheme="minorHAnsi" w:hAnsiTheme="minorHAnsi"/>
        </w:rPr>
        <w:t xml:space="preserve">mergency </w:t>
      </w:r>
      <w:r w:rsidR="00481C62" w:rsidRPr="008E1307">
        <w:rPr>
          <w:rFonts w:asciiTheme="minorHAnsi" w:hAnsiTheme="minorHAnsi"/>
        </w:rPr>
        <w:t>R</w:t>
      </w:r>
      <w:r w:rsidR="00413338" w:rsidRPr="008E1307">
        <w:rPr>
          <w:rFonts w:asciiTheme="minorHAnsi" w:hAnsiTheme="minorHAnsi"/>
        </w:rPr>
        <w:t>oom (ER) may be significant drivers of overall system cost</w:t>
      </w:r>
      <w:r w:rsidR="00FA3DDE">
        <w:rPr>
          <w:rFonts w:asciiTheme="minorHAnsi" w:hAnsiTheme="minorHAnsi"/>
        </w:rPr>
        <w:fldChar w:fldCharType="begin"/>
      </w:r>
      <w:r w:rsidR="00FA3DDE">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reserved."},{"title":"Effectiveness of interventions to decrease emergency department visits by adult frequent users: A systematic review.","id":"4340715","ArticleId":"726592944","page":"40-52","type":"article-journal","volume":"24","issue":"1","author":[{"family":"Moe","given":"Jessica"},{"family":"Kirkland","given":"Scott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Med.","DOI":"10.1111/acem.13060","PMID":"27473387","citation-label":"4340715","Abstract":"&lt;strong&gt;OBJECTIVES:&lt;/strong&gt;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Medicine."},{"title":"Many emergency department visits could be managed at urgent care centers and retail clinics.","id":"1133051","ArticleId":"721144174","page":"1630-1636","type":"article-journal","volume":"29","issue":"9","author":[{"family":"Weinick","given":"Robin M"},{"family":"Burns","given":"Rachel M"},{"family":"Mehrotra","given":"Ateev"}],"issued":{"date-parts":[["2010","9"]]},"container-title":"Health Affairs (Project Hope)","container-title-short":"Health Aff (Millwood)","journalAbbreviation":"Health Aff (Millwood)","DOI":"10.1377/hlthaff.2009.0748","PMID":"20820018","PMCID":"PMC3412873","citation-label":"1133051","Abstract":"Americans seek a large amount of nonemergency care in emergency departments, where they often encounter long waits to be seen. Urgent care centers and retail clinics have emerged as alternatives to the emergency department for nonemergency care. We estimate that 13.7-27.1 percent of all emergency department visits could take place at one of these alternative sites, with a potential cost savings of approximately $4.4 billion annually. The primary conditions that could be treated at these sites include minor acute illnesses, strains, and fractures. There is some evidence that patients can safely direct themselves to these alternative sites. However, more research is needed to ensure that care of equivalent quality is provided at urgent care centers and retail clinics compared to emergency departments.","CleanAbstract":"Americans seek a large amount of nonemergency care in emergency departments, where they often encounter long waits to be seen. Urgent care centers and retail clinics have emerged as alternatives to the emergency department for nonemergency care. We estimate that 13.7-27.1 percent of all emergency department visits could take place at one of these alternative sites, with a potential cost savings of approximately $4.4 billion annually. The primary conditions that could be treated at these sites include minor acute illnesses, strains, and fractures. There is some evidence that patients can safely direct themselves to these alternative sites. However, more research is needed to ensure that care of equivalent quality is provided at urgent care centers and retail clinics compared to emergency departments."},{"title":"Costs and effects of interventions targeting frequent presenters to the emergency department: a systematic and narrative review.","id":"9116978","ArticleId":"737172897","page":"83","type":"article-journal","volume":"19","issue":"1","author":[{"family":"Korczak","given":"Viola"},{"family":"Shanthosh","given":"Janani"},{"family":"Jan","given":"Stephen"},{"family":"Dinh","given":"Michael"},{"family":"Lung","given":"Thomas"}],"issued":{"date-parts":[["2019","12","30"]]},"container-title":"BMC Emergency Medicine","container-title-short":"BMC Emerg. Med.","journalAbbreviation":"BMC Emerg. Med.","DOI":"10.1186/s12873-019-0296-4","PMID":"31888508","PMCID":"PMC6937921","citation-label":"9116978","Abstract":"&lt;strong&gt;BACKGROUND:&lt;/strong&gt; Previous systematic reviews have examined the effectiveness of interventions for frequent presenters to the Emergency Department (ED) but not the costs and cost-effectiveness of such interventions.&lt;br&gt;&lt;br&gt;&lt;strong&gt;METHOD:&lt;/strong&gt; A systematic literature review was conducted which screened the following databases: Pubmed, Medline, Embase, Cochrane and Econlit. An inclusion and exclusion criteria were developed following PRISMA guidelines. A narrative review methodology was adopted due to the heterogeneity of the reporting of the costs across the studies.&lt;br&gt;&lt;br&gt;&lt;strong&gt;RESULTS:&lt;/strong&gt; One thousand three hundred eighty-nine papers were found and 16 were included in the review. All of the interventions were variations of a case management approach. Apart from one study which had mixed results, all of the papers reported a decrease in ED use and costs. There were no cost effectiveness studies.&lt;br&gt;&lt;br&gt;&lt;strong&gt;CONCLUSION:&lt;/strong&gt; The majority of interventions for frequent presenters to the ED were found to decrease ED use and cost. Future research should be undertaken to examine the cost effectiveness of these interventions.","CleanAbstract":"BACKGROUND: Previous systematic reviews have examined the effectiveness of interventions for frequent presenters to the Emergency Department (ED) but not the costs and cost-effectiveness of such interventions.METHOD: A systematic literature review was conducted which screened the following databases: Pubmed, Medline, Embase, Cochrane and Econlit. An inclusion and exclusion criteria were developed following PRISMA guidelines. A narrative review methodology was adopted due to the heterogeneity of the reporting of the costs across the studies.RESULTS: One thousand three hundred eighty-nine papers were found and 16 were included in the review. All of the interventions were variations of a case management approach. Apart from one study which had mixed results, all of the papers reported a decrease in ED use and costs. There were no cost effectiveness studies.CONCLUSION: The majority of interventions for frequent presenters to the ED were found to decrease ED use and cost. Future research should be undertaken to examine the cost effectiveness of these interventions."},{"title":"Interventions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FA3DDE">
        <w:rPr>
          <w:rFonts w:asciiTheme="minorHAnsi" w:hAnsiTheme="minorHAnsi"/>
        </w:rPr>
        <w:fldChar w:fldCharType="separate"/>
      </w:r>
      <w:r w:rsidR="00FA3DDE">
        <w:rPr>
          <w:rFonts w:asciiTheme="minorHAnsi" w:hAnsiTheme="minorHAnsi"/>
        </w:rPr>
        <w:t>(3–7)</w:t>
      </w:r>
      <w:r w:rsidR="00FA3DDE">
        <w:rPr>
          <w:rFonts w:asciiTheme="minorHAnsi" w:hAnsiTheme="minorHAnsi"/>
        </w:rPr>
        <w:fldChar w:fldCharType="end"/>
      </w:r>
      <w:r w:rsidR="00413338" w:rsidRPr="008E1307">
        <w:rPr>
          <w:rFonts w:asciiTheme="minorHAnsi" w:hAnsiTheme="minorHAnsi"/>
        </w:rPr>
        <w:t xml:space="preserve">. Understanding the relationship between ER </w:t>
      </w:r>
      <w:r w:rsidR="002F31E6" w:rsidRPr="008E1307">
        <w:rPr>
          <w:rFonts w:asciiTheme="minorHAnsi" w:hAnsiTheme="minorHAnsi"/>
        </w:rPr>
        <w:t>utilization</w:t>
      </w:r>
      <w:r w:rsidR="00413338" w:rsidRPr="008E1307">
        <w:rPr>
          <w:rFonts w:asciiTheme="minorHAnsi" w:hAnsiTheme="minorHAnsi"/>
        </w:rPr>
        <w:t xml:space="preserve"> and overall patient cost is a significant </w:t>
      </w:r>
      <w:r w:rsidR="002F31E6" w:rsidRPr="008E1307">
        <w:rPr>
          <w:rFonts w:asciiTheme="minorHAnsi" w:hAnsiTheme="minorHAnsi"/>
        </w:rPr>
        <w:t>question for various stakeholders within the U.S. healthcare system</w:t>
      </w:r>
      <w:r w:rsidR="00FA3DDE">
        <w:rPr>
          <w:rFonts w:asciiTheme="minorHAnsi" w:hAnsiTheme="minorHAnsi"/>
        </w:rPr>
        <w:fldChar w:fldCharType="begin"/>
      </w:r>
      <w:r w:rsidR="00FA3DDE">
        <w:rPr>
          <w:rFonts w:asciiTheme="minorHAnsi" w:hAnsiTheme="minorHAnsi"/>
        </w:rPr>
        <w:instrText>ADDIN F1000_CSL_CITATION&lt;~#@#~&gt;[{"title":"The impact of chronic disease self-management programs: healthcare savings through a community-based intervention.","id":"4694049","ArticleId":"720556436","page":"1141","type":"article-journal","volume":"13","author":[{"family":"Ahn","given":"SangNam"},{"family":"Basu","given":"Rashmita"},{"family":"Smith","given":"Matthew Lee"},{"family":"Jiang","given":"Luohua"},{"family":"Lorig","given":"Kate"},{"family":"Whitelaw","given":"Nancy"},{"family":"Ory","given":"Marcia G"}],"issued":{"date-parts":[["2013","12","6"]]},"container-title":"BMC Public Health","container-title-short":"BMC Public Health","journalAbbreviation":"BMC Public Health","DOI":"10.1186/1471-2458-13-1141","PMID":"24314032","PMCID":"PMC3878965","citation-label":"4694049","Abstract":"&lt;strong&gt;BACKGROUND:&lt;/strong&gt; Among the most studied evidence-based programs, the Chronic Disease Self-Management Program (CDSMP) has been shown to help participants improve their health behaviors, health outcomes, and reduce healthcare utilization. However, there is a lack of information on how CDSMP, when nationally disseminated, impacts healthcare utilization and averts healthcare costs. The purposes of this study were to: 1) document reductions in healthcare utilization among national CDSMP participants; 2) calculate potential cost savings associated with emergency room (ER) visits and hospitalizations; and 3) extrapolate the cost savings estimation to the American adults.&lt;br&gt;&lt;br&gt;&lt;strong&gt;METHODS:&lt;/strong&gt; The national study of CDSMP surveyed 1,170 community-dwelling CDSMP participants at baseline, 6 months, and 12 months from 22 organizations in 17 states. The procedure used to estimate potential cost savings included: 1) examining the pattern of healthcare utilization among CDSMP participants from self-reported healthcare utilization assessed at baseline, 6 months, and 12 months; 2) calculating age-adjusted average costs for persons using the 2010 Medical Expenditure Panel Survey; 3) calculating costs saved from reductions in healthcare utilization; 4) estimating per participant program costs; 5) computing potential cost savings by deducting program costs from estimated healthcare savings; and 6) extrapolating savings to national populations using Census data combined with national health statistics.&lt;br&gt;&lt;br&gt;&lt;strong&gt;RESULTS:&lt;/strong&gt; Findings from analyses showed significant reductions in ER visits (5%) at both the 6-month and 12-month assessments as well as hospitalizations (3%) at 6 months among national CDSMP participants. This equates to potential net savings of $364 per participant and a national savings of $3.3 billion if 5% of adults with one or more chronic conditions were reached.&lt;br&gt;&lt;br&gt;&lt;strong&gt;CONCLUSIONS:&lt;/strong&gt; Findings emphasize the value of public health tertiary prevention interventions and the need for policies to support widespread adoption of CDSMP.","CleanAbstract":"BACKGROUND: Among the most studied evidence-based programs, the Chronic Disease Self-Management Program (CDSMP) has been shown to help participants improve their health behaviors, health outcomes, and reduce healthcare utilization. However, there is a lack of information on how CDSMP, when nationally disseminated, impacts healthcare utilization and averts healthcare costs. The purposes of this study were to: 1) document reductions in healthcare utilization among national CDSMP participants; 2) calculate potential cost savings associated with emergency room (ER) visits and hospitalizations; and 3) extrapolate the cost savings estimation to the American adults.METHODS: The national study of CDSMP surveyed 1,170 community-dwelling CDSMP participants at baseline, 6 months, and 12 months from 22 organizations in 17 states. The procedure used to estimate potential cost savings included: 1) examining the pattern of healthcare utilization among CDSMP participants from self-reported healthcare utilization assessed at baseline, 6 months, and 12 months; 2) calculating age-adjusted average costs for persons using the 2010 Medical Expenditure Panel Survey; 3) calculating costs saved from reductions in healthcare utilization; 4) estimating per participant program costs; 5) computing potential cost savings by deducting program costs from estimated healthcare savings; and 6) extrapolating savings to national populations using Census data combined with national health statistics.RESULTS: Findings from analyses showed significant reductions in ER visits (5%) at both the 6-month and 12-month assessments as well as hospitalizations (3%) at 6 months among national CDSMP participants. This equates to potential net savings of $364 per participant and a national savings of $3.3 billion if 5% of adults with one or more chronic conditions were reached.CONCLUSIONS: Findings emphasize the value of public health tertiary prevention interventions and the need for policies to support widespread adoption of CDSMP."},{"title":"Approaches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programs."},{"title":"Leveraging health information technology to achieve the \"triple aim\" of healthcare reform.","id":"6136345","ArticleId":"728071402","page":"849-856","type":"article-journal","volume":"22","issue":"4","author":[{"family":"Sheikh","given":"Aziz"},{"family":"Sood","given":"Harpreet S"},{"family":"Bates","given":"David W"}],"issued":{"date-parts":[["2015","7"]]},"container-title":"Journal of the American Medical Informatics Association","container-title-short":"J. Am. Med. Inform. Assoc.","journalAbbreviation":"J. Am. Med. Inform. Assoc.","DOI":"10.1093/jamia/ocv022","PMID":"25882032","PMCID":"PMC5009900","citation-label":"6136345","Abstract":"&lt;strong&gt;OBJECTIVE:&lt;/strong&gt; To investigate experiences with leveraging health information technology (HIT) to improve patient care and population health, and reduce healthcare expenditures.&lt;br&gt;&lt;br&gt;&lt;strong&gt;MATERIALS AND METHODS:&lt;/strong&gt; In-depth qualitative interviews with federal government employees, health policy, HIT and medico-legal experts, health providers, physicians, purchasers, payers, patient advocates, and vendors from across the United States.&lt;br&gt;&lt;br&gt;&lt;strong&gt;RESULTS:&lt;/strong&gt; The authors undertook 47 interviews. There was a widely shared belief that Health Information Technology for Economic and Clinical Health (HITECH) had catalyzed the creation of a digital infrastructure, which was being used in innovative ways to improve quality of care and curtail costs. There were however major concerns about the poor usability of electronic health records (EHRs), their limited ability to support multi-disciplinary care, and major difficulties with health information exchange, which undermined efforts to deliver integrated patient-centered care. Proposed strategies for enhancing the benefits of HIT included federal stimulation of competition by mandating vendors to open-up their application program interfaces, incenting development of low-cost consumer informatics tools, and promoting Congressional review of the The Health Insurance Portability and Accountability Act (HIPPA) to optimize the balance between data privacy and reuse. Many underscored the need to \"kick the legs from underneath the fee-for-service model\" and replace it with a data-driven reimbursement system that rewards high quality care.&lt;br&gt;&lt;br&gt;&lt;strong&gt;CONCLUSIONS:&lt;/strong&gt; The HITECH Act has stimulated unprecedented, multi-stakeholder interest in HIT. Early experiences indicate that the resulting digital infrastructure is being used to improve quality of care and curtail costs. Reform efforts are however severely limited by problems with usability, limited interoperability and the persistence of the fee-for-service paradigm-addressing these issues therefore needs to be the federal government's main policy target.&lt;br&gt;&lt;br&gt;© The Author 2015. Published by Oxford University Press on behalf of the American Medical Informatics Association. All rights reserved. For Permissions, please email: journals.permissions@oup.com.","CleanAbstract":"OBJECTIVE: To investigate experiences with leveraging health information technology (HIT) to improve patient care and population health, and reduce healthcare expenditures.MATERIALS AND METHODS: In-depth qualitative interviews with federal government employees, health policy, HIT and medico-legal experts, health providers, physicians, purchasers, payers, patient advocates, and vendors from across the United States.RESULTS: The authors undertook 47 interviews. There was a widely shared belief that Health Information Technology for Economic and Clinical Health (HITECH) had catalyzed the creation of a digital infrastructure, which was being used in innovative ways to improve quality of care and curtail costs. There were however major concerns about the poor usability of electronic health records (EHRs), their limited ability to support multi-disciplinary care, and major difficulties with health information exchange, which undermined efforts to deliver integrated patient-centered care. Proposed strategies for enhancing the benefits of HIT included federal stimulation of competition by mandating vendors to open-up their application program interfaces, incenting development of low-cost consumer informatics tools, and promoting Congressional review of the The Health Insurance Portability and Accountability Act (HIPPA) to optimize the balance between data privacy and reuse. Many underscored the need to \"kick the legs from underneath the fee-for-service model\" and replace it with a data-driven reimbursement system that rewards high quality care.CONCLUSIONS: The HITECH Act has stimulated unprecedented, multi-stakeholder interest in HIT. Early experiences indicate that the resulting digital infrastructure is being used to improve quality of care and curtail costs. Reform efforts are however severely limited by problems with usability, limited interoperability and the persistence of the fee-for-service paradigm-addressing these issues therefore needs to be the federal government's main policy target.© The Author 2015. Published by Oxford University Press on behalf of the American Medical Informatics Association. All rights reserved. For Permissions, please email: journals.permissions@oup.com."},{"title":"Development and validation of the agency for healthcare research and quality measures of potentially preventable emergency department (ED) visits: the ED prevention quality indicators for general health conditions.","id":"10775679","ArticleId":"727481720","page":"1667-1684","type":"article-journal","volume":"52","issue":"5","author":[{"family":"Davies","given":"Sheryl"},{"family":"Schultz","given":"Ellen"},{"family":"Raven","given":"Maria"},{"family":"Wang","given":"Nancy Ewen"},{"family":"Stocks","given":"Carol L"},{"family":"Delgado","given":"Mucio Kit"},{"family":"McDonald","given":"Kathryn M"}],"issued":{"date-parts":[["2017","10"]]},"container-title":"Health Services Research","container-title-short":"Health Serv. Res.","journalAbbreviation":"Health Serv. Res.","DOI":"10.1111/1475-6773.12687","PMID":"28369814","PMCID":"PMC5583364","citation-label":"10775679","Abstract":"&lt;strong&gt;OBJECTIVE:&lt;/strong&gt; To develop and validate rates of potentially preventable emergency department (ED) visits as indicators of community health.&lt;br&gt;&lt;br&gt;&lt;strong&gt;DATA SOURCES:&lt;/strong&gt; Agency for Healthcare Research and Quality, Healthcare Cost and Utilization Project 2008-2010 State Inpatient Databases and State Emergency Department Databases.&lt;br&gt;&lt;br&gt;&lt;strong&gt;STUDY DESIGN:&lt;/strong&gt; Empirical analyses and structured panel reviews.&lt;br&gt;&lt;br&gt;&lt;strong&gt;METHODS:&lt;/strong&gt; Panels of 14-17 clinicians and end users evaluated a set of ED Prevention Quality Indicators (PQIs) using a Modified Delphi process. Empirical analyses included assessing variation in ED PQI rates across counties and sensitivity of those rates to county-level poverty, uninsurance, and density of primary care physicians (PCPs).&lt;br&gt;&lt;br&gt;&lt;strong&gt;PRINCIPAL FINDINGS:&lt;/strong&gt; ED PQI rates varied widely across U.S. communities. Indicator rates were significantly associated with county-level poverty, median income, Medicaid insurance, and levels of uninsurance. A few indicators were significantly associated with PCP density, with higher rates in areas with greater density. A clinical and an end-user panel separately rated the indicators as having strong face validity for most uses evaluated.&lt;br&gt;&lt;br&gt;&lt;strong&gt;CONCLUSIONS:&lt;/strong&gt; The ED PQIs have undergone initial validation as indicators of community health with potential for use in public reporting, population health improvement, and research.&lt;br&gt;&lt;br&gt;© Health Research and Educational Trust.","CleanAbstract":"OBJECTIVE: To develop and validate rates of potentially preventable emergency department (ED) visits as indicators of community health.DATA SOURCES: Agency for Healthcare Research and Quality, Healthcare Cost and Utilization Project 2008-2010 State Inpatient Databases and State Emergency Department Databases.STUDY DESIGN: Empirical analyses and structured panel reviews.METHODS: Panels of 14-17 clinicians and end users evaluated a set of ED Prevention Quality Indicators (PQIs) using a Modified Delphi process. Empirical analyses included assessing variation in ED PQI rates across counties and sensitivity of those rates to county-level poverty, uninsurance, and density of primary care physicians (PCPs).PRINCIPAL FINDINGS: ED PQI rates varied widely across U.S. communities. Indicator rates were significantly associated with county-level poverty, median income, Medicaid insurance, and levels of uninsurance. A few indicators were significantly associated with PCP density, with higher rates in areas with greater density. A clinical and an end-user panel separately rated the indicators as having strong face validity for most uses evaluated.CONCLUSIONS: The ED PQIs have undergone initial validation as indicators of community health with potential for use in public reporting, population health improvement, and research.© Health Research and Educational Trust."},{"title":"Pathways to potentially preventable hospitalizations for diabetes and heart failure: a qualitative analysis of patient perspectives.","id":"5951694","ArticleId":"726580615","page":"300","type":"article-journal","volume":"16","author":[{"family":"Sentell","given":"Tetine L"},{"family":"Seto","given":"Todd B"},{"family":"Young","given":"Malia M"},{"family":"Vawer","given":"May"},{"family":"Quensell","given":"Michelle L"},{"family":"Braun","given":"Kathryn L"},{"family":"Taira","given":"Deborah A"}],"issued":{"date-parts":[["2016","7","26"]]},"container-title":"BMC Health Services Research","container-title-short":"BMC Health Serv. Res.","journalAbbreviation":"BMC Health Serv. Res.","DOI":"10.1186/s12913-016-1511-6","PMID":"27456233","PMCID":"PMC4960879","citation-label":"5951694","Abstract":"&lt;strong&gt;BACKGROUND:&lt;/strong&gt; Potentially preventable hospitalizations (PPH) for heart failure (HF) and diabetes mellitus (DM) cost the United States over $14 billion annually. Studies about PPH typically lack patient perspectives, especially across diverse racial/ethnic groups with known PPH health disparities.&lt;br&gt;&lt;br&gt;&lt;strong&gt;METHODS:&lt;/strong&gt; English-speaking individuals with a HF or DM-related PPH (n = 90) at the largest hospital in Hawai'i completed an in-person interview, including open-ended questions on precipitating factors to their PPH. Using the framework approach, two independent coders identified patient-reported factors and pathways to their PPH.&lt;br&gt;&lt;br&gt;&lt;strong&gt;RESULTS:&lt;/strong&gt; Seventy-two percent of respondents were under 65 years, 30 % were female, 90 % had health insurance, and 66 % had previously been hospitalized for the same problem. Patients' stories identified immediate, precipitating, and underlying reasons for the admission. Underlying background factors were critical to understanding why patients had the acute problems necessitating their hospitalizations. Six, non-exclusive, underlying factors included: extreme social vulnerability (e.g., homeless, poverty, no social support, reported by 54 % of respondents); health system interaction issues (e.g., poor communication with providers, 44 %); limited health-related knowledge (42 %); behavioral health issues (e.g., substance abuse, mental illness, 36 %); denial of illness (27 %); and practical problems (e.g., too busy, 6 %). From these findings, we developed a model to understand an individual's pathways to a PPH through immediate, precipitating, and underlying factors, which could help identify potential intervention foci. We demonstrate the model's utility using five examples.&lt;br&gt;&lt;br&gt;&lt;strong&gt;CONCLUSIONS:&lt;/strong&gt; In a young, predominately insured population, factors well outside the traditional purview of the hospital, or even clinical medicine, critically influenced many PPH. Patient perspectives were vital to understanding this issue. Innovative partnerships and policies should address these issues, including linkages to social services and behavioral health.","CleanAbstract":"BACKGROUND: Potentially preventable hospitalizations (PPH) for heart failure (HF) and diabetes mellitus (DM) cost the United States over $14 billion annually. Studies about PPH typically lack patient perspectives, especially across diverse racial/ethnic groups with known PPH health disparities.METHODS: English-speaking individuals with a HF or DM-related PPH (n = 90) at the largest hospital in Hawai'i completed an in-person interview, including open-ended questions on precipitating factors to their PPH. Using the framework approach, two independent coders identified patient-reported factors and pathways to their PPH.RESULTS: Seventy-two percent of respondents were under 65 years, 30 % were female, 90 % had health insurance, and 66 % had previously been hospitalized for the same problem. Patients' stories identified immediate, precipitating, and underlying reasons for the admission. Underlying background factors were critical to understanding why patients had the acute problems necessitating their hospitalizations. Six, non-exclusive, underlying factors included: extreme social vulnerability (e.g., homeless, poverty, no social support, reported by 54 % of respondents); health system interaction issues (e.g., poor communication with providers, 44 %); limited health-related knowledge (42 %); behavioral health issues (e.g., substance abuse, mental illness, 36 %); denial of illness (27 %); and practical problems (e.g., too busy, 6 %). From these findings, we developed a model to understand an individual's pathways to a PPH through immediate, precipitating, and underlying factors, which could help identify potential intervention foci. We demonstrate the model's utility using five examples.CONCLUSIONS: In a young, predominately insured population, factors well outside the traditional purview of the hospital, or even clinical medicine, critically influenced many PPH. Patient perspectives were vital to understanding this issue. Innovative partnerships and policies should address these issues, including linkages to social services and behavioral health."}]</w:instrText>
      </w:r>
      <w:r w:rsidR="00FA3DDE">
        <w:rPr>
          <w:rFonts w:asciiTheme="minorHAnsi" w:hAnsiTheme="minorHAnsi"/>
        </w:rPr>
        <w:fldChar w:fldCharType="separate"/>
      </w:r>
      <w:r w:rsidR="00FA3DDE">
        <w:rPr>
          <w:rFonts w:asciiTheme="minorHAnsi" w:hAnsiTheme="minorHAnsi"/>
        </w:rPr>
        <w:t>(8–12)</w:t>
      </w:r>
      <w:r w:rsidR="00FA3DDE">
        <w:rPr>
          <w:rFonts w:asciiTheme="minorHAnsi" w:hAnsiTheme="minorHAnsi"/>
        </w:rPr>
        <w:fldChar w:fldCharType="end"/>
      </w:r>
      <w:r w:rsidR="002F31E6" w:rsidRPr="008E1307">
        <w:rPr>
          <w:rFonts w:asciiTheme="minorHAnsi" w:hAnsiTheme="minorHAnsi"/>
        </w:rPr>
        <w:t xml:space="preserve">. </w:t>
      </w:r>
    </w:p>
    <w:p w14:paraId="455B6AE0" w14:textId="6DBEA72C" w:rsidR="00E43EBB" w:rsidRPr="008E1307" w:rsidRDefault="004D5777" w:rsidP="005C6E67">
      <w:pPr>
        <w:pStyle w:val="BodyText"/>
        <w:rPr>
          <w:rFonts w:asciiTheme="minorHAnsi" w:hAnsiTheme="minorHAnsi"/>
        </w:rPr>
      </w:pPr>
      <w:r w:rsidRPr="008E1307">
        <w:rPr>
          <w:rFonts w:asciiTheme="minorHAnsi" w:hAnsiTheme="minorHAnsi"/>
        </w:rPr>
        <w:t>To</w:t>
      </w:r>
      <w:r w:rsidR="001B2E69" w:rsidRPr="008E1307">
        <w:rPr>
          <w:rFonts w:asciiTheme="minorHAnsi" w:hAnsiTheme="minorHAnsi"/>
        </w:rPr>
        <w:t xml:space="preserve"> describe the relationship between the total cost by patient in the previous year (cost) the number of visits to the ER by patient in the past year (ER visits), an ordinary least squares (OLS) regression model </w:t>
      </w:r>
      <w:r w:rsidR="00E43EBB" w:rsidRPr="008E1307">
        <w:rPr>
          <w:rFonts w:asciiTheme="minorHAnsi" w:hAnsiTheme="minorHAnsi"/>
        </w:rPr>
        <w:t xml:space="preserve">was developed. In addition, </w:t>
      </w:r>
      <w:proofErr w:type="gramStart"/>
      <w:r w:rsidR="00E43EBB" w:rsidRPr="008E1307">
        <w:rPr>
          <w:rFonts w:asciiTheme="minorHAnsi" w:hAnsiTheme="minorHAnsi"/>
        </w:rPr>
        <w:t>a number of</w:t>
      </w:r>
      <w:proofErr w:type="gramEnd"/>
      <w:r w:rsidR="00E43EBB" w:rsidRPr="008E1307">
        <w:rPr>
          <w:rFonts w:asciiTheme="minorHAnsi" w:hAnsiTheme="minorHAnsi"/>
        </w:rPr>
        <w:t xml:space="preserve"> statistical tests were conducted to </w:t>
      </w:r>
      <w:r w:rsidR="00393DC6" w:rsidRPr="008E1307">
        <w:rPr>
          <w:rFonts w:asciiTheme="minorHAnsi" w:hAnsiTheme="minorHAnsi"/>
        </w:rPr>
        <w:t xml:space="preserve">verify conditions about the data </w:t>
      </w:r>
      <w:r w:rsidR="00E43EBB" w:rsidRPr="008E1307">
        <w:rPr>
          <w:rFonts w:asciiTheme="minorHAnsi" w:hAnsiTheme="minorHAnsi"/>
        </w:rPr>
        <w:t xml:space="preserve">and a hierarchical linear model </w:t>
      </w:r>
      <w:r w:rsidR="001B2E69" w:rsidRPr="008E1307">
        <w:rPr>
          <w:rFonts w:asciiTheme="minorHAnsi" w:hAnsiTheme="minorHAnsi"/>
        </w:rPr>
        <w:t>was developed</w:t>
      </w:r>
      <w:r w:rsidR="00393DC6" w:rsidRPr="008E1307">
        <w:rPr>
          <w:rFonts w:asciiTheme="minorHAnsi" w:hAnsiTheme="minorHAnsi"/>
        </w:rPr>
        <w:t xml:space="preserve"> in response to those tests</w:t>
      </w:r>
      <w:r w:rsidR="001B2E69" w:rsidRPr="008E1307">
        <w:rPr>
          <w:rFonts w:asciiTheme="minorHAnsi" w:hAnsiTheme="minorHAnsi"/>
        </w:rPr>
        <w:t>.</w:t>
      </w:r>
      <w:r w:rsidR="00393DC6" w:rsidRPr="008E1307">
        <w:rPr>
          <w:rFonts w:asciiTheme="minorHAnsi" w:hAnsiTheme="minorHAnsi"/>
        </w:rPr>
        <w:t xml:space="preserve"> All statistical tests using the data for this population were conducted in R version 3.6.4.</w:t>
      </w:r>
      <w:r w:rsidR="001B2E69" w:rsidRPr="008E1307">
        <w:rPr>
          <w:rFonts w:asciiTheme="minorHAnsi" w:hAnsiTheme="minorHAnsi"/>
        </w:rPr>
        <w:t xml:space="preserve"> </w:t>
      </w:r>
    </w:p>
    <w:p w14:paraId="4620243E" w14:textId="0DD9CEB6" w:rsidR="00393DC6" w:rsidRPr="008E1307" w:rsidRDefault="00393DC6" w:rsidP="005C6E67">
      <w:pPr>
        <w:pStyle w:val="BodyText"/>
        <w:rPr>
          <w:rFonts w:asciiTheme="minorHAnsi" w:hAnsiTheme="minorHAnsi"/>
          <w:i/>
          <w:iCs/>
        </w:rPr>
      </w:pPr>
      <w:r w:rsidRPr="008E1307">
        <w:rPr>
          <w:rFonts w:asciiTheme="minorHAnsi" w:hAnsiTheme="minorHAnsi"/>
          <w:i/>
          <w:iCs/>
        </w:rPr>
        <w:t>OLS Assumptions</w:t>
      </w:r>
    </w:p>
    <w:p w14:paraId="3D5B5E85" w14:textId="5F1FDE87" w:rsidR="001B2E69" w:rsidRPr="008E1307" w:rsidRDefault="001B2E69" w:rsidP="005C6E67">
      <w:pPr>
        <w:pStyle w:val="BodyText"/>
        <w:rPr>
          <w:rFonts w:asciiTheme="minorHAnsi" w:hAnsiTheme="minorHAnsi"/>
        </w:rPr>
      </w:pPr>
      <w:r w:rsidRPr="008E1307">
        <w:rPr>
          <w:rFonts w:asciiTheme="minorHAnsi" w:hAnsiTheme="minorHAnsi"/>
        </w:rPr>
        <w:t xml:space="preserve">A regression model </w:t>
      </w:r>
      <w:r w:rsidR="003A0B68" w:rsidRPr="008E1307">
        <w:rPr>
          <w:rFonts w:asciiTheme="minorHAnsi" w:hAnsiTheme="minorHAnsi"/>
        </w:rPr>
        <w:t>can describe</w:t>
      </w:r>
      <w:r w:rsidRPr="008E1307">
        <w:rPr>
          <w:rFonts w:asciiTheme="minorHAnsi" w:hAnsiTheme="minorHAnsi"/>
        </w:rPr>
        <w:t xml:space="preserve"> the magnitude and significance of a possible </w:t>
      </w:r>
      <w:r w:rsidR="003A0B68" w:rsidRPr="008E1307">
        <w:rPr>
          <w:rFonts w:asciiTheme="minorHAnsi" w:hAnsiTheme="minorHAnsi"/>
        </w:rPr>
        <w:t>relationship</w:t>
      </w:r>
      <w:r w:rsidRPr="008E1307">
        <w:rPr>
          <w:rFonts w:asciiTheme="minorHAnsi" w:hAnsiTheme="minorHAnsi"/>
        </w:rPr>
        <w:t xml:space="preserve"> of the predictor variable (ER Visits) on the outcome (cost). </w:t>
      </w:r>
      <w:r w:rsidR="00623A43" w:rsidRPr="008E1307">
        <w:rPr>
          <w:rFonts w:asciiTheme="minorHAnsi" w:hAnsiTheme="minorHAnsi"/>
        </w:rPr>
        <w:t>F</w:t>
      </w:r>
      <w:r w:rsidR="003A0B68" w:rsidRPr="008E1307">
        <w:rPr>
          <w:rFonts w:asciiTheme="minorHAnsi" w:hAnsiTheme="minorHAnsi"/>
        </w:rPr>
        <w:t xml:space="preserve">or the regression model to provide information appropriate for this interpretation, </w:t>
      </w:r>
      <w:proofErr w:type="gramStart"/>
      <w:r w:rsidR="003A0B68" w:rsidRPr="008E1307">
        <w:rPr>
          <w:rFonts w:asciiTheme="minorHAnsi" w:hAnsiTheme="minorHAnsi"/>
        </w:rPr>
        <w:t>a number of</w:t>
      </w:r>
      <w:proofErr w:type="gramEnd"/>
      <w:r w:rsidR="003A0B68" w:rsidRPr="008E1307">
        <w:rPr>
          <w:rFonts w:asciiTheme="minorHAnsi" w:hAnsiTheme="minorHAnsi"/>
        </w:rPr>
        <w:t xml:space="preserve"> assumptions need to be met concerning the nature of the data.</w:t>
      </w:r>
    </w:p>
    <w:p w14:paraId="209C2763" w14:textId="4D73037C" w:rsidR="003A0B68" w:rsidRPr="008E1307" w:rsidRDefault="005C6E67"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It can be assumed that the</w:t>
      </w:r>
      <w:r w:rsidR="003A0B68" w:rsidRPr="008E1307">
        <w:rPr>
          <w:rFonts w:asciiTheme="minorHAnsi" w:hAnsiTheme="minorHAnsi"/>
          <w:sz w:val="20"/>
          <w:szCs w:val="20"/>
        </w:rPr>
        <w:t xml:space="preserve"> outcome is dependent on the predictor and the predictor is independent of the outcome.</w:t>
      </w:r>
    </w:p>
    <w:p w14:paraId="20A336DA" w14:textId="4B02B2FA" w:rsidR="005C6E67" w:rsidRPr="008E1307" w:rsidRDefault="005C6E67"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The data is randomly sampled among a population and the number of samples exceed the number of predictors.</w:t>
      </w:r>
    </w:p>
    <w:p w14:paraId="7D53024A" w14:textId="5BA1ABA0" w:rsidR="003A0B68" w:rsidRPr="008E1307" w:rsidRDefault="003A0B68"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 xml:space="preserve">The predictor and the outcome </w:t>
      </w:r>
      <w:r w:rsidR="00D97459" w:rsidRPr="008E1307">
        <w:rPr>
          <w:rFonts w:asciiTheme="minorHAnsi" w:hAnsiTheme="minorHAnsi"/>
          <w:sz w:val="20"/>
          <w:szCs w:val="20"/>
        </w:rPr>
        <w:t>are correlated</w:t>
      </w:r>
      <w:r w:rsidRPr="008E1307">
        <w:rPr>
          <w:rFonts w:asciiTheme="minorHAnsi" w:hAnsiTheme="minorHAnsi"/>
          <w:sz w:val="20"/>
          <w:szCs w:val="20"/>
        </w:rPr>
        <w:t>.</w:t>
      </w:r>
    </w:p>
    <w:p w14:paraId="50558152" w14:textId="48448641" w:rsidR="001C303C" w:rsidRPr="008E1307" w:rsidRDefault="003A0B68" w:rsidP="0017650A">
      <w:pPr>
        <w:pStyle w:val="BlockText"/>
        <w:spacing w:after="240"/>
        <w:ind w:left="1440" w:hanging="1440"/>
        <w:rPr>
          <w:rFonts w:asciiTheme="minorHAnsi" w:hAnsiTheme="minorHAnsi"/>
          <w:sz w:val="20"/>
          <w:szCs w:val="20"/>
        </w:rPr>
      </w:pPr>
      <w:r w:rsidRPr="008E1307">
        <w:rPr>
          <w:rFonts w:asciiTheme="minorHAnsi" w:hAnsiTheme="minorHAnsi"/>
          <w:sz w:val="20"/>
          <w:szCs w:val="20"/>
        </w:rPr>
        <w:t>There is a linear relationship between the outcome and predictor</w:t>
      </w:r>
      <w:r w:rsidR="0017650A" w:rsidRPr="008E1307">
        <w:rPr>
          <w:rFonts w:asciiTheme="minorHAnsi" w:hAnsiTheme="minorHAnsi"/>
          <w:sz w:val="20"/>
          <w:szCs w:val="20"/>
        </w:rPr>
        <w:t xml:space="preserve">. </w:t>
      </w:r>
      <w:r w:rsidR="001C303C" w:rsidRPr="008E1307">
        <w:rPr>
          <w:rFonts w:asciiTheme="minorHAnsi" w:hAnsiTheme="minorHAnsi"/>
          <w:sz w:val="20"/>
          <w:szCs w:val="20"/>
        </w:rPr>
        <w:t xml:space="preserve">The </w:t>
      </w:r>
      <w:r w:rsidR="0017650A" w:rsidRPr="008E1307">
        <w:rPr>
          <w:rFonts w:asciiTheme="minorHAnsi" w:hAnsiTheme="minorHAnsi"/>
          <w:sz w:val="20"/>
          <w:szCs w:val="20"/>
        </w:rPr>
        <w:t>predictors are independent and not correlated with each other</w:t>
      </w:r>
    </w:p>
    <w:p w14:paraId="2F56006F" w14:textId="77777777" w:rsidR="007D5F09" w:rsidRPr="008E1307" w:rsidRDefault="003A0B68" w:rsidP="007D5F09">
      <w:pPr>
        <w:pStyle w:val="BlockText"/>
        <w:spacing w:after="240"/>
        <w:ind w:left="1440" w:hanging="1440"/>
        <w:rPr>
          <w:rFonts w:asciiTheme="minorHAnsi" w:hAnsiTheme="minorHAnsi"/>
          <w:sz w:val="20"/>
          <w:szCs w:val="20"/>
        </w:rPr>
      </w:pPr>
      <w:r w:rsidRPr="008E1307">
        <w:rPr>
          <w:rFonts w:asciiTheme="minorHAnsi" w:hAnsiTheme="minorHAnsi"/>
          <w:sz w:val="20"/>
          <w:szCs w:val="20"/>
        </w:rPr>
        <w:t xml:space="preserve">The error between the linear model and the actual data </w:t>
      </w:r>
      <w:r w:rsidR="005C6E67" w:rsidRPr="008E1307">
        <w:rPr>
          <w:rFonts w:asciiTheme="minorHAnsi" w:hAnsiTheme="minorHAnsi"/>
          <w:sz w:val="20"/>
          <w:szCs w:val="20"/>
        </w:rPr>
        <w:t xml:space="preserve">follows a normal distribution with a mean of 0. </w:t>
      </w:r>
    </w:p>
    <w:p w14:paraId="1B9DF4C7" w14:textId="6FABDD4F" w:rsidR="005C6E67" w:rsidRPr="008E1307" w:rsidRDefault="005C6E67" w:rsidP="007D5F09">
      <w:pPr>
        <w:pStyle w:val="BlockText"/>
        <w:spacing w:after="240"/>
        <w:ind w:left="1440" w:hanging="1440"/>
        <w:rPr>
          <w:rFonts w:asciiTheme="minorHAnsi" w:hAnsiTheme="minorHAnsi"/>
          <w:sz w:val="20"/>
          <w:szCs w:val="20"/>
        </w:rPr>
      </w:pPr>
      <w:r w:rsidRPr="008E1307">
        <w:rPr>
          <w:rFonts w:asciiTheme="minorHAnsi" w:hAnsiTheme="minorHAnsi"/>
          <w:sz w:val="20"/>
          <w:szCs w:val="20"/>
        </w:rPr>
        <w:t>The error between the linear model and the actual data is randomly and evenly distributed across the data</w:t>
      </w:r>
      <w:r w:rsidRPr="008E1307">
        <w:rPr>
          <w:rStyle w:val="FootnoteReference"/>
          <w:rFonts w:asciiTheme="minorHAnsi" w:hAnsiTheme="minorHAnsi"/>
          <w:sz w:val="20"/>
          <w:szCs w:val="20"/>
        </w:rPr>
        <w:footnoteReference w:id="1"/>
      </w:r>
    </w:p>
    <w:p w14:paraId="0C64AFFA" w14:textId="6BFC4A85" w:rsidR="00130B01" w:rsidRPr="008E1307" w:rsidRDefault="00130B01" w:rsidP="00130B01">
      <w:pPr>
        <w:pStyle w:val="BlockText"/>
        <w:spacing w:after="240"/>
        <w:ind w:left="1440" w:hanging="1440"/>
        <w:rPr>
          <w:rFonts w:asciiTheme="minorHAnsi" w:hAnsiTheme="minorHAnsi"/>
          <w:sz w:val="20"/>
          <w:szCs w:val="20"/>
        </w:rPr>
      </w:pPr>
      <w:r w:rsidRPr="008E1307">
        <w:rPr>
          <w:rFonts w:asciiTheme="minorHAnsi" w:hAnsiTheme="minorHAnsi"/>
          <w:sz w:val="20"/>
          <w:szCs w:val="20"/>
        </w:rPr>
        <w:t>The error between the linear model and the actual data is not associated with each other and does not show clear patterns.</w:t>
      </w:r>
    </w:p>
    <w:p w14:paraId="4A245407" w14:textId="206B3964" w:rsidR="005C6E67" w:rsidRPr="008E1307" w:rsidRDefault="00021D91" w:rsidP="00423BBD">
      <w:pPr>
        <w:pStyle w:val="Heading4"/>
        <w:rPr>
          <w:rFonts w:asciiTheme="minorHAnsi" w:hAnsiTheme="minorHAnsi"/>
        </w:rPr>
      </w:pPr>
      <w:r w:rsidRPr="008E1307">
        <w:rPr>
          <w:rFonts w:asciiTheme="minorHAnsi" w:hAnsiTheme="minorHAnsi"/>
        </w:rPr>
        <w:t>Assumption 1</w:t>
      </w:r>
      <w:r w:rsidR="00C63804" w:rsidRPr="008E1307">
        <w:rPr>
          <w:rFonts w:asciiTheme="minorHAnsi" w:hAnsiTheme="minorHAnsi"/>
        </w:rPr>
        <w:t>-2</w:t>
      </w:r>
    </w:p>
    <w:p w14:paraId="1A8DE500" w14:textId="77777777" w:rsidR="00C63804" w:rsidRPr="008E1307" w:rsidRDefault="00021D91" w:rsidP="00021D91">
      <w:pPr>
        <w:pStyle w:val="BodyText"/>
        <w:rPr>
          <w:rFonts w:asciiTheme="minorHAnsi" w:hAnsiTheme="minorHAnsi"/>
        </w:rPr>
      </w:pPr>
      <w:r w:rsidRPr="008E1307">
        <w:rPr>
          <w:rFonts w:asciiTheme="minorHAnsi" w:hAnsiTheme="minorHAnsi"/>
        </w:rPr>
        <w:t xml:space="preserve">Since the high cost of care experienced in emergency settings is not likely to induce patients to select to receive emergency care and the average yearly cost occurs after the visits occur, it is reasonable assume that ER visits are independent of cost and cost is </w:t>
      </w:r>
      <w:r w:rsidRPr="008E1307">
        <w:rPr>
          <w:rFonts w:asciiTheme="minorHAnsi" w:hAnsiTheme="minorHAnsi"/>
        </w:rPr>
        <w:lastRenderedPageBreak/>
        <w:t>dependent on the number of ER visits. In the sample provided, there are no missing values and the number of observations (N = 500) well exceed the possible predictors variables.</w:t>
      </w:r>
      <w:r w:rsidRPr="008E1307">
        <w:rPr>
          <w:rStyle w:val="FootnoteReference"/>
          <w:rFonts w:asciiTheme="minorHAnsi" w:hAnsiTheme="minorHAnsi"/>
        </w:rPr>
        <w:footnoteReference w:id="2"/>
      </w:r>
      <w:r w:rsidR="00090B7E" w:rsidRPr="008E1307">
        <w:rPr>
          <w:rFonts w:asciiTheme="minorHAnsi" w:hAnsiTheme="minorHAnsi"/>
        </w:rPr>
        <w:t xml:space="preserve"> </w:t>
      </w:r>
    </w:p>
    <w:p w14:paraId="4B966226" w14:textId="6C820649" w:rsidR="00C63804" w:rsidRPr="008E1307" w:rsidRDefault="00C63804" w:rsidP="00C63804">
      <w:pPr>
        <w:pStyle w:val="Heading4"/>
        <w:rPr>
          <w:rFonts w:asciiTheme="minorHAnsi" w:hAnsiTheme="minorHAnsi"/>
        </w:rPr>
      </w:pPr>
      <w:r w:rsidRPr="008E1307">
        <w:rPr>
          <w:rFonts w:asciiTheme="minorHAnsi" w:hAnsiTheme="minorHAnsi"/>
        </w:rPr>
        <w:t>Assumption 3 - 4</w:t>
      </w:r>
    </w:p>
    <w:p w14:paraId="2857BCCC" w14:textId="5096FDE0" w:rsidR="00DD3DE3" w:rsidRPr="008E1307" w:rsidRDefault="00021D91" w:rsidP="00021D91">
      <w:pPr>
        <w:pStyle w:val="BodyText"/>
        <w:rPr>
          <w:rFonts w:asciiTheme="minorHAnsi" w:hAnsiTheme="minorHAnsi"/>
        </w:rPr>
      </w:pPr>
      <w:r w:rsidRPr="008E1307">
        <w:rPr>
          <w:rFonts w:asciiTheme="minorHAnsi" w:hAnsiTheme="minorHAnsi"/>
        </w:rPr>
        <w:t>Spearman</w:t>
      </w:r>
      <w:r w:rsidR="00090B7E" w:rsidRPr="008E1307">
        <w:rPr>
          <w:rFonts w:asciiTheme="minorHAnsi" w:hAnsiTheme="minorHAnsi"/>
        </w:rPr>
        <w:t>’s rank</w:t>
      </w:r>
      <w:r w:rsidRPr="008E1307">
        <w:rPr>
          <w:rFonts w:asciiTheme="minorHAnsi" w:hAnsiTheme="minorHAnsi"/>
        </w:rPr>
        <w:t xml:space="preserve"> </w:t>
      </w:r>
      <w:r w:rsidR="00A86167" w:rsidRPr="008E1307">
        <w:rPr>
          <w:rFonts w:asciiTheme="minorHAnsi" w:hAnsiTheme="minorHAnsi"/>
        </w:rPr>
        <w:t>c</w:t>
      </w:r>
      <w:r w:rsidRPr="008E1307">
        <w:rPr>
          <w:rFonts w:asciiTheme="minorHAnsi" w:hAnsiTheme="minorHAnsi"/>
        </w:rPr>
        <w:t>orrelation</w:t>
      </w:r>
      <w:r w:rsidR="00A86167" w:rsidRPr="008E1307">
        <w:rPr>
          <w:rFonts w:asciiTheme="minorHAnsi" w:hAnsiTheme="minorHAnsi"/>
        </w:rPr>
        <w:t xml:space="preserve"> coefficient</w:t>
      </w:r>
      <w:r w:rsidR="00090B7E" w:rsidRPr="008E1307">
        <w:rPr>
          <w:rFonts w:asciiTheme="minorHAnsi" w:hAnsiTheme="minorHAnsi"/>
        </w:rPr>
        <w:t xml:space="preserve"> </w:t>
      </w:r>
      <w:r w:rsidR="00A86167" w:rsidRPr="008E1307">
        <w:rPr>
          <w:rFonts w:asciiTheme="minorHAnsi" w:hAnsiTheme="minorHAnsi"/>
        </w:rPr>
        <w:t>was calculated and a</w:t>
      </w:r>
      <w:r w:rsidR="00423BBD" w:rsidRPr="008E1307">
        <w:rPr>
          <w:rFonts w:asciiTheme="minorHAnsi" w:hAnsiTheme="minorHAnsi"/>
        </w:rPr>
        <w:t xml:space="preserve"> negative correlation in relatively high magnitude was observed</w:t>
      </w:r>
      <w:r w:rsidR="00090B7E" w:rsidRPr="008E1307">
        <w:rPr>
          <w:rFonts w:asciiTheme="minorHAnsi" w:hAnsiTheme="minorHAnsi"/>
        </w:rPr>
        <w:t xml:space="preserve"> </w:t>
      </w:r>
      <w:r w:rsidR="00A86167" w:rsidRPr="008E1307">
        <w:rPr>
          <w:rFonts w:asciiTheme="minorHAnsi" w:hAnsiTheme="minorHAnsi"/>
        </w:rPr>
        <w:t>(</w:t>
      </w:r>
      <w:proofErr w:type="spellStart"/>
      <w:r w:rsidR="00090B7E" w:rsidRPr="008E1307">
        <w:rPr>
          <w:rFonts w:asciiTheme="minorHAnsi" w:hAnsiTheme="minorHAnsi"/>
        </w:rPr>
        <w:t>r</w:t>
      </w:r>
      <w:r w:rsidR="00A86167" w:rsidRPr="008E1307">
        <w:rPr>
          <w:rFonts w:asciiTheme="minorHAnsi" w:hAnsiTheme="minorHAnsi"/>
          <w:vertAlign w:val="subscript"/>
        </w:rPr>
        <w:t>s</w:t>
      </w:r>
      <w:proofErr w:type="spellEnd"/>
      <w:r w:rsidR="00090B7E" w:rsidRPr="008E1307">
        <w:rPr>
          <w:rFonts w:asciiTheme="minorHAnsi" w:hAnsiTheme="minorHAnsi"/>
        </w:rPr>
        <w:t xml:space="preserve"> = </w:t>
      </w:r>
      <w:r w:rsidRPr="008E1307">
        <w:rPr>
          <w:rFonts w:asciiTheme="minorHAnsi" w:hAnsiTheme="minorHAnsi"/>
        </w:rPr>
        <w:t>-0.6</w:t>
      </w:r>
      <w:r w:rsidR="00A86167" w:rsidRPr="008E1307">
        <w:rPr>
          <w:rFonts w:asciiTheme="minorHAnsi" w:hAnsiTheme="minorHAnsi"/>
        </w:rPr>
        <w:t>7)</w:t>
      </w:r>
      <w:r w:rsidR="00423BBD" w:rsidRPr="008E1307">
        <w:rPr>
          <w:rFonts w:asciiTheme="minorHAnsi" w:hAnsiTheme="minorHAnsi"/>
        </w:rPr>
        <w:t>.</w:t>
      </w:r>
      <w:r w:rsidR="00D97459" w:rsidRPr="008E1307">
        <w:rPr>
          <w:rFonts w:asciiTheme="minorHAnsi" w:hAnsiTheme="minorHAnsi"/>
        </w:rPr>
        <w:t xml:space="preserve"> </w:t>
      </w:r>
      <w:r w:rsidR="00DD3DE3" w:rsidRPr="008E1307">
        <w:rPr>
          <w:rFonts w:asciiTheme="minorHAnsi" w:hAnsiTheme="minorHAnsi"/>
        </w:rPr>
        <w:t xml:space="preserve">While the presence of correlation was expected, the original theoretical framework assumed a positive correlation between ER visits and cost. </w:t>
      </w:r>
    </w:p>
    <w:p w14:paraId="41E3FD3A" w14:textId="3588B7D7" w:rsidR="0017650A" w:rsidRPr="008E1307" w:rsidRDefault="00DD3DE3" w:rsidP="00021D91">
      <w:pPr>
        <w:pStyle w:val="BodyText"/>
        <w:rPr>
          <w:rFonts w:asciiTheme="minorHAnsi" w:hAnsiTheme="minorHAnsi"/>
        </w:rPr>
      </w:pPr>
      <w:r w:rsidRPr="008E1307">
        <w:rPr>
          <w:rFonts w:asciiTheme="minorHAnsi" w:hAnsiTheme="minorHAnsi"/>
        </w:rPr>
        <w:t xml:space="preserve">The </w:t>
      </w:r>
      <w:r w:rsidR="00317B4A" w:rsidRPr="008E1307">
        <w:rPr>
          <w:rFonts w:asciiTheme="minorHAnsi" w:hAnsiTheme="minorHAnsi"/>
        </w:rPr>
        <w:t>data provided also include</w:t>
      </w:r>
      <w:r w:rsidR="00436E7C" w:rsidRPr="008E1307">
        <w:rPr>
          <w:rFonts w:asciiTheme="minorHAnsi" w:hAnsiTheme="minorHAnsi"/>
        </w:rPr>
        <w:t>s</w:t>
      </w:r>
      <w:r w:rsidR="00317B4A" w:rsidRPr="008E1307">
        <w:rPr>
          <w:rFonts w:asciiTheme="minorHAnsi" w:hAnsiTheme="minorHAnsi"/>
        </w:rPr>
        <w:t xml:space="preserve"> a measure of the </w:t>
      </w:r>
      <w:r w:rsidR="003D14C2" w:rsidRPr="008E1307">
        <w:rPr>
          <w:rFonts w:asciiTheme="minorHAnsi" w:hAnsiTheme="minorHAnsi"/>
        </w:rPr>
        <w:t>most common</w:t>
      </w:r>
      <w:r w:rsidR="00317B4A" w:rsidRPr="008E1307">
        <w:rPr>
          <w:rFonts w:asciiTheme="minorHAnsi" w:hAnsiTheme="minorHAnsi"/>
        </w:rPr>
        <w:t xml:space="preserve"> severity level </w:t>
      </w:r>
      <w:r w:rsidR="003D14C2" w:rsidRPr="008E1307">
        <w:rPr>
          <w:rFonts w:asciiTheme="minorHAnsi" w:hAnsiTheme="minorHAnsi"/>
        </w:rPr>
        <w:t>associated with the past year’s ER visits</w:t>
      </w:r>
      <w:r w:rsidR="00462331" w:rsidRPr="008E1307">
        <w:rPr>
          <w:rFonts w:asciiTheme="minorHAnsi" w:hAnsiTheme="minorHAnsi"/>
        </w:rPr>
        <w:t xml:space="preserve"> (severity)</w:t>
      </w:r>
      <w:r w:rsidR="003D14C2" w:rsidRPr="008E1307">
        <w:rPr>
          <w:rFonts w:asciiTheme="minorHAnsi" w:hAnsiTheme="minorHAnsi"/>
        </w:rPr>
        <w:t xml:space="preserve">. This data was recategorized into binary </w:t>
      </w:r>
      <w:r w:rsidR="00107644" w:rsidRPr="008E1307">
        <w:rPr>
          <w:rFonts w:asciiTheme="minorHAnsi" w:hAnsiTheme="minorHAnsi"/>
        </w:rPr>
        <w:t>variables for each category (</w:t>
      </w:r>
      <w:r w:rsidR="00240D4A" w:rsidRPr="008E1307">
        <w:rPr>
          <w:rFonts w:asciiTheme="minorHAnsi" w:hAnsiTheme="minorHAnsi"/>
        </w:rPr>
        <w:t>“</w:t>
      </w:r>
      <w:r w:rsidR="00107644" w:rsidRPr="008E1307">
        <w:rPr>
          <w:rFonts w:asciiTheme="minorHAnsi" w:hAnsiTheme="minorHAnsi"/>
        </w:rPr>
        <w:t>Very Low</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Low</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Moderate</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High</w:t>
      </w:r>
      <w:r w:rsidR="00240D4A" w:rsidRPr="008E1307">
        <w:rPr>
          <w:rFonts w:asciiTheme="minorHAnsi" w:hAnsiTheme="minorHAnsi"/>
        </w:rPr>
        <w:t>”</w:t>
      </w:r>
      <w:r w:rsidR="00107644" w:rsidRPr="008E1307">
        <w:rPr>
          <w:rFonts w:asciiTheme="minorHAnsi" w:hAnsiTheme="minorHAnsi"/>
        </w:rPr>
        <w:t xml:space="preserve">, and </w:t>
      </w:r>
      <w:r w:rsidR="00240D4A" w:rsidRPr="008E1307">
        <w:rPr>
          <w:rFonts w:asciiTheme="minorHAnsi" w:hAnsiTheme="minorHAnsi"/>
        </w:rPr>
        <w:t>“</w:t>
      </w:r>
      <w:r w:rsidR="00107644" w:rsidRPr="008E1307">
        <w:rPr>
          <w:rFonts w:asciiTheme="minorHAnsi" w:hAnsiTheme="minorHAnsi"/>
        </w:rPr>
        <w:t>Very High</w:t>
      </w:r>
      <w:r w:rsidR="00240D4A" w:rsidRPr="008E1307">
        <w:rPr>
          <w:rFonts w:asciiTheme="minorHAnsi" w:hAnsiTheme="minorHAnsi"/>
        </w:rPr>
        <w:t>”</w:t>
      </w:r>
      <w:r w:rsidR="00240D4A" w:rsidRPr="008E1307">
        <w:rPr>
          <w:rStyle w:val="FootnoteReference"/>
          <w:rFonts w:asciiTheme="minorHAnsi" w:hAnsiTheme="minorHAnsi"/>
        </w:rPr>
        <w:footnoteReference w:id="3"/>
      </w:r>
      <w:r w:rsidR="001C0682" w:rsidRPr="008E1307">
        <w:rPr>
          <w:rFonts w:asciiTheme="minorHAnsi" w:hAnsiTheme="minorHAnsi"/>
        </w:rPr>
        <w:t xml:space="preserve">). </w:t>
      </w:r>
    </w:p>
    <w:p w14:paraId="0832D9FA" w14:textId="4018A2F7" w:rsidR="00C63804" w:rsidRPr="008E1307" w:rsidRDefault="00462331" w:rsidP="00021D91">
      <w:pPr>
        <w:pStyle w:val="BodyText"/>
        <w:rPr>
          <w:rFonts w:asciiTheme="minorHAnsi" w:hAnsiTheme="minorHAnsi"/>
        </w:rPr>
      </w:pPr>
      <w:r w:rsidRPr="008E1307">
        <w:rPr>
          <w:rFonts w:asciiTheme="minorHAnsi" w:hAnsiTheme="minorHAnsi"/>
        </w:rPr>
        <w:t>Severity and ER were used as independent predictor variables</w:t>
      </w:r>
      <w:r w:rsidRPr="008E1307">
        <w:rPr>
          <w:rStyle w:val="FootnoteReference"/>
          <w:rFonts w:asciiTheme="minorHAnsi" w:hAnsiTheme="minorHAnsi"/>
        </w:rPr>
        <w:footnoteReference w:id="4"/>
      </w:r>
      <w:r w:rsidR="003207E4" w:rsidRPr="008E1307">
        <w:rPr>
          <w:rFonts w:asciiTheme="minorHAnsi" w:hAnsiTheme="minorHAnsi"/>
        </w:rPr>
        <w:t xml:space="preserve"> to create a</w:t>
      </w:r>
      <w:r w:rsidR="004A6746" w:rsidRPr="008E1307">
        <w:rPr>
          <w:rFonts w:asciiTheme="minorHAnsi" w:hAnsiTheme="minorHAnsi"/>
        </w:rPr>
        <w:t xml:space="preserve"> simple</w:t>
      </w:r>
      <w:r w:rsidR="00A1130D" w:rsidRPr="008E1307">
        <w:rPr>
          <w:rFonts w:asciiTheme="minorHAnsi" w:hAnsiTheme="minorHAnsi"/>
        </w:rPr>
        <w:t xml:space="preserve"> OLS </w:t>
      </w:r>
      <w:r w:rsidR="00107644" w:rsidRPr="008E1307">
        <w:rPr>
          <w:rFonts w:asciiTheme="minorHAnsi" w:hAnsiTheme="minorHAnsi"/>
        </w:rPr>
        <w:t>regression model.</w:t>
      </w:r>
      <w:r w:rsidR="004A6746" w:rsidRPr="008E1307">
        <w:rPr>
          <w:rFonts w:asciiTheme="minorHAnsi" w:hAnsiTheme="minorHAnsi"/>
        </w:rPr>
        <w:t xml:space="preserve"> The results of this model are shown below</w:t>
      </w:r>
      <w:r w:rsidR="00553FFF" w:rsidRPr="008E1307">
        <w:rPr>
          <w:rFonts w:asciiTheme="minorHAnsi" w:hAnsiTheme="minorHAnsi"/>
        </w:rPr>
        <w:t xml:space="preserve"> in </w:t>
      </w:r>
      <w:r w:rsidR="009906F2" w:rsidRPr="008E1307">
        <w:rPr>
          <w:rFonts w:asciiTheme="minorHAnsi" w:hAnsiTheme="minorHAnsi"/>
        </w:rPr>
        <w:t>Tabl</w:t>
      </w:r>
      <w:r w:rsidR="00553FFF" w:rsidRPr="008E1307">
        <w:rPr>
          <w:rFonts w:asciiTheme="minorHAnsi" w:hAnsiTheme="minorHAnsi"/>
        </w:rPr>
        <w:t>e 1</w:t>
      </w:r>
      <w:r w:rsidR="00C63804" w:rsidRPr="008E1307">
        <w:rPr>
          <w:rFonts w:asciiTheme="minorHAnsi" w:hAnsiTheme="minorHAnsi"/>
        </w:rPr>
        <w:t>:</w:t>
      </w:r>
      <w:r w:rsidR="00107644" w:rsidRPr="008E1307">
        <w:rPr>
          <w:rFonts w:asciiTheme="minorHAnsi" w:hAnsiTheme="minorHAnsi"/>
        </w:rPr>
        <w:t xml:space="preserve"> </w:t>
      </w:r>
    </w:p>
    <w:p w14:paraId="1CFF2AAD" w14:textId="54EA8E0C" w:rsidR="00C63804" w:rsidRPr="008E1307" w:rsidRDefault="0078703E" w:rsidP="00553FFF">
      <w:pPr>
        <w:pStyle w:val="Compact"/>
        <w:jc w:val="center"/>
        <w:rPr>
          <w:rFonts w:asciiTheme="minorHAnsi" w:hAnsiTheme="minorHAnsi"/>
        </w:rPr>
      </w:pPr>
      <w:r w:rsidRPr="008E1307">
        <w:rPr>
          <w:rFonts w:asciiTheme="minorHAnsi" w:hAnsiTheme="minorHAnsi"/>
        </w:rPr>
        <w:t>Coefficient</w:t>
      </w:r>
      <w:r w:rsidR="0036681F" w:rsidRPr="008E1307">
        <w:rPr>
          <w:rFonts w:asciiTheme="minorHAnsi" w:hAnsiTheme="minorHAnsi"/>
        </w:rPr>
        <w:tab/>
      </w:r>
      <w:r w:rsidR="00C63804" w:rsidRPr="008E1307">
        <w:rPr>
          <w:rFonts w:asciiTheme="minorHAnsi" w:hAnsiTheme="minorHAnsi"/>
        </w:rPr>
        <w:t>Estimate</w:t>
      </w:r>
      <w:r w:rsidR="0036681F" w:rsidRPr="008E1307">
        <w:rPr>
          <w:rFonts w:asciiTheme="minorHAnsi" w:hAnsiTheme="minorHAnsi"/>
        </w:rPr>
        <w:tab/>
      </w:r>
      <w:r w:rsidR="00C63804" w:rsidRPr="008E1307">
        <w:rPr>
          <w:rFonts w:asciiTheme="minorHAnsi" w:hAnsiTheme="minorHAnsi"/>
        </w:rPr>
        <w:t>Std. Error</w:t>
      </w:r>
      <w:r w:rsidR="0036681F" w:rsidRPr="008E1307">
        <w:rPr>
          <w:rFonts w:asciiTheme="minorHAnsi" w:hAnsiTheme="minorHAnsi"/>
        </w:rPr>
        <w:tab/>
      </w:r>
      <w:r w:rsidR="00C63804" w:rsidRPr="008E1307">
        <w:rPr>
          <w:rFonts w:asciiTheme="minorHAnsi" w:hAnsiTheme="minorHAnsi"/>
        </w:rPr>
        <w:t>t value</w:t>
      </w:r>
      <w:r w:rsidR="0036681F" w:rsidRPr="008E1307">
        <w:rPr>
          <w:rFonts w:asciiTheme="minorHAnsi" w:hAnsiTheme="minorHAnsi"/>
        </w:rPr>
        <w:tab/>
      </w:r>
      <w:r w:rsidR="0036681F" w:rsidRPr="008E1307">
        <w:rPr>
          <w:rFonts w:asciiTheme="minorHAnsi" w:hAnsiTheme="minorHAnsi"/>
        </w:rPr>
        <w:tab/>
      </w:r>
      <w:proofErr w:type="spellStart"/>
      <w:r w:rsidR="00C63804" w:rsidRPr="008E1307">
        <w:rPr>
          <w:rFonts w:asciiTheme="minorHAnsi" w:hAnsiTheme="minorHAnsi"/>
        </w:rPr>
        <w:t>Pr</w:t>
      </w:r>
      <w:proofErr w:type="spellEnd"/>
      <w:r w:rsidR="00C63804" w:rsidRPr="008E1307">
        <w:rPr>
          <w:rFonts w:asciiTheme="minorHAnsi" w:hAnsiTheme="minorHAnsi"/>
        </w:rPr>
        <w:t>(&gt;|t|)</w:t>
      </w:r>
    </w:p>
    <w:p w14:paraId="0414F642" w14:textId="52A34166"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(Intercept)</w:t>
      </w:r>
      <w:r w:rsidR="0036681F" w:rsidRPr="008E1307">
        <w:rPr>
          <w:rFonts w:asciiTheme="minorHAnsi" w:hAnsiTheme="minorHAnsi"/>
          <w:b w:val="0"/>
          <w:bCs w:val="0"/>
        </w:rPr>
        <w:tab/>
      </w:r>
      <w:r w:rsidRPr="008E1307">
        <w:rPr>
          <w:rFonts w:asciiTheme="minorHAnsi" w:hAnsiTheme="minorHAnsi"/>
          <w:b w:val="0"/>
          <w:bCs w:val="0"/>
        </w:rPr>
        <w:t>7548.0</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871.1</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8.665</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3337F96D" w14:textId="5C10D745" w:rsidR="00C63804" w:rsidRPr="008E1307" w:rsidRDefault="00C63804" w:rsidP="00553FFF">
      <w:pPr>
        <w:pStyle w:val="Compact"/>
        <w:jc w:val="center"/>
        <w:rPr>
          <w:rFonts w:asciiTheme="minorHAnsi" w:hAnsiTheme="minorHAnsi"/>
          <w:b w:val="0"/>
          <w:bCs w:val="0"/>
        </w:rPr>
      </w:pPr>
      <w:proofErr w:type="spellStart"/>
      <w:r w:rsidRPr="008E1307">
        <w:rPr>
          <w:rFonts w:asciiTheme="minorHAnsi" w:hAnsiTheme="minorHAnsi"/>
          <w:b w:val="0"/>
          <w:bCs w:val="0"/>
        </w:rPr>
        <w:t>ER_Visits</w:t>
      </w:r>
      <w:proofErr w:type="spellEnd"/>
      <w:r w:rsidRPr="008E1307">
        <w:rPr>
          <w:rFonts w:asciiTheme="minorHAnsi" w:hAnsiTheme="minorHAnsi"/>
          <w:b w:val="0"/>
          <w:bCs w:val="0"/>
        </w:rPr>
        <w:t xml:space="preserve">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1815.2 </w:t>
      </w:r>
      <w:r w:rsidR="0036681F" w:rsidRPr="008E1307">
        <w:rPr>
          <w:rFonts w:asciiTheme="minorHAnsi" w:hAnsiTheme="minorHAnsi"/>
          <w:b w:val="0"/>
          <w:bCs w:val="0"/>
        </w:rPr>
        <w:tab/>
      </w:r>
      <w:r w:rsidRPr="008E1307">
        <w:rPr>
          <w:rFonts w:asciiTheme="minorHAnsi" w:hAnsiTheme="minorHAnsi"/>
          <w:b w:val="0"/>
          <w:bCs w:val="0"/>
        </w:rPr>
        <w:tab/>
        <w:t xml:space="preserve">102.8 </w:t>
      </w:r>
      <w:r w:rsidRPr="008E1307">
        <w:rPr>
          <w:rFonts w:asciiTheme="minorHAnsi" w:hAnsiTheme="minorHAnsi"/>
          <w:b w:val="0"/>
          <w:bCs w:val="0"/>
        </w:rPr>
        <w:tab/>
      </w:r>
      <w:r w:rsidRPr="008E1307">
        <w:rPr>
          <w:rFonts w:asciiTheme="minorHAnsi" w:hAnsiTheme="minorHAnsi"/>
          <w:b w:val="0"/>
          <w:bCs w:val="0"/>
        </w:rPr>
        <w:tab/>
        <w:t xml:space="preserve">17.655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05688DF6" w14:textId="0D1F5D84" w:rsidR="00C63804" w:rsidRPr="008E1307" w:rsidRDefault="00C63804" w:rsidP="00553FFF">
      <w:pPr>
        <w:pStyle w:val="Compact"/>
        <w:jc w:val="center"/>
        <w:rPr>
          <w:rFonts w:asciiTheme="minorHAnsi" w:hAnsiTheme="minorHAnsi"/>
          <w:b w:val="0"/>
          <w:bCs w:val="0"/>
        </w:rPr>
      </w:pPr>
      <w:proofErr w:type="spellStart"/>
      <w:r w:rsidRPr="008E1307">
        <w:rPr>
          <w:rFonts w:asciiTheme="minorHAnsi" w:hAnsiTheme="minorHAnsi"/>
          <w:b w:val="0"/>
          <w:bCs w:val="0"/>
        </w:rPr>
        <w:t>Very_High</w:t>
      </w:r>
      <w:proofErr w:type="spellEnd"/>
      <w:r w:rsidRPr="008E1307">
        <w:rPr>
          <w:rFonts w:asciiTheme="minorHAnsi" w:hAnsiTheme="minorHAnsi"/>
          <w:b w:val="0"/>
          <w:bCs w:val="0"/>
        </w:rPr>
        <w:t xml:space="preserve"> </w:t>
      </w:r>
      <w:r w:rsidRPr="008E1307">
        <w:rPr>
          <w:rFonts w:asciiTheme="minorHAnsi" w:hAnsiTheme="minorHAnsi"/>
          <w:b w:val="0"/>
          <w:bCs w:val="0"/>
        </w:rPr>
        <w:tab/>
        <w:t xml:space="preserve">27965.6 </w:t>
      </w:r>
      <w:r w:rsidRPr="008E1307">
        <w:rPr>
          <w:rFonts w:asciiTheme="minorHAnsi" w:hAnsiTheme="minorHAnsi"/>
          <w:b w:val="0"/>
          <w:bCs w:val="0"/>
        </w:rPr>
        <w:tab/>
        <w:t xml:space="preserve">545.5 </w:t>
      </w:r>
      <w:r w:rsidRPr="008E1307">
        <w:rPr>
          <w:rFonts w:asciiTheme="minorHAnsi" w:hAnsiTheme="minorHAnsi"/>
          <w:b w:val="0"/>
          <w:bCs w:val="0"/>
        </w:rPr>
        <w:tab/>
      </w:r>
      <w:r w:rsidRPr="008E1307">
        <w:rPr>
          <w:rFonts w:asciiTheme="minorHAnsi" w:hAnsiTheme="minorHAnsi"/>
          <w:b w:val="0"/>
          <w:bCs w:val="0"/>
        </w:rPr>
        <w:tab/>
        <w:t xml:space="preserve">51.262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171AD529" w14:textId="07535691"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High </w:t>
      </w:r>
      <w:r w:rsidRPr="008E1307">
        <w:rPr>
          <w:rFonts w:asciiTheme="minorHAnsi" w:hAnsiTheme="minorHAnsi"/>
          <w:b w:val="0"/>
          <w:bCs w:val="0"/>
        </w:rPr>
        <w:tab/>
      </w:r>
      <w:r w:rsidRPr="008E1307">
        <w:rPr>
          <w:rFonts w:asciiTheme="minorHAnsi" w:hAnsiTheme="minorHAnsi"/>
          <w:b w:val="0"/>
          <w:bCs w:val="0"/>
        </w:rPr>
        <w:tab/>
        <w:t xml:space="preserve">19283.5 </w:t>
      </w:r>
      <w:r w:rsidRPr="008E1307">
        <w:rPr>
          <w:rFonts w:asciiTheme="minorHAnsi" w:hAnsiTheme="minorHAnsi"/>
          <w:b w:val="0"/>
          <w:bCs w:val="0"/>
        </w:rPr>
        <w:tab/>
        <w:t xml:space="preserve">454.6 </w:t>
      </w:r>
      <w:r w:rsidRPr="008E1307">
        <w:rPr>
          <w:rFonts w:asciiTheme="minorHAnsi" w:hAnsiTheme="minorHAnsi"/>
          <w:b w:val="0"/>
          <w:bCs w:val="0"/>
        </w:rPr>
        <w:tab/>
      </w:r>
      <w:r w:rsidRPr="008E1307">
        <w:rPr>
          <w:rFonts w:asciiTheme="minorHAnsi" w:hAnsiTheme="minorHAnsi"/>
          <w:b w:val="0"/>
          <w:bCs w:val="0"/>
        </w:rPr>
        <w:tab/>
        <w:t xml:space="preserve">42.422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7B70419C" w14:textId="232CA257"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Moderate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14341.1 </w:t>
      </w:r>
      <w:r w:rsidRPr="008E1307">
        <w:rPr>
          <w:rFonts w:asciiTheme="minorHAnsi" w:hAnsiTheme="minorHAnsi"/>
          <w:b w:val="0"/>
          <w:bCs w:val="0"/>
        </w:rPr>
        <w:tab/>
        <w:t xml:space="preserve">392.7 </w:t>
      </w:r>
      <w:r w:rsidRPr="008E1307">
        <w:rPr>
          <w:rFonts w:asciiTheme="minorHAnsi" w:hAnsiTheme="minorHAnsi"/>
          <w:b w:val="0"/>
          <w:bCs w:val="0"/>
        </w:rPr>
        <w:tab/>
      </w:r>
      <w:r w:rsidRPr="008E1307">
        <w:rPr>
          <w:rFonts w:asciiTheme="minorHAnsi" w:hAnsiTheme="minorHAnsi"/>
          <w:b w:val="0"/>
          <w:bCs w:val="0"/>
        </w:rPr>
        <w:tab/>
        <w:t xml:space="preserve">36.518 </w:t>
      </w:r>
      <w:r w:rsidR="0036681F" w:rsidRPr="008E1307">
        <w:rPr>
          <w:rFonts w:asciiTheme="minorHAnsi" w:hAnsiTheme="minorHAnsi"/>
          <w:b w:val="0"/>
          <w:bCs w:val="0"/>
        </w:rPr>
        <w:tab/>
      </w:r>
      <w:r w:rsidRPr="008E1307">
        <w:rPr>
          <w:rFonts w:asciiTheme="minorHAnsi" w:hAnsiTheme="minorHAnsi"/>
          <w:b w:val="0"/>
          <w:bCs w:val="0"/>
        </w:rPr>
        <w:tab/>
        <w:t>&lt;2e-16</w:t>
      </w:r>
    </w:p>
    <w:p w14:paraId="266F3B70" w14:textId="0CF58438"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Low </w:t>
      </w:r>
      <w:r w:rsidRPr="008E1307">
        <w:rPr>
          <w:rFonts w:asciiTheme="minorHAnsi" w:hAnsiTheme="minorHAnsi"/>
          <w:b w:val="0"/>
          <w:bCs w:val="0"/>
        </w:rPr>
        <w:tab/>
      </w:r>
      <w:r w:rsidRPr="008E1307">
        <w:rPr>
          <w:rFonts w:asciiTheme="minorHAnsi" w:hAnsiTheme="minorHAnsi"/>
          <w:b w:val="0"/>
          <w:bCs w:val="0"/>
        </w:rPr>
        <w:tab/>
        <w:t xml:space="preserve">6999.0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340.0 </w:t>
      </w:r>
      <w:r w:rsidRPr="008E1307">
        <w:rPr>
          <w:rFonts w:asciiTheme="minorHAnsi" w:hAnsiTheme="minorHAnsi"/>
          <w:b w:val="0"/>
          <w:bCs w:val="0"/>
        </w:rPr>
        <w:tab/>
      </w:r>
      <w:r w:rsidRPr="008E1307">
        <w:rPr>
          <w:rFonts w:asciiTheme="minorHAnsi" w:hAnsiTheme="minorHAnsi"/>
          <w:b w:val="0"/>
          <w:bCs w:val="0"/>
        </w:rPr>
        <w:tab/>
        <w:t xml:space="preserve">20.583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&lt;2e-16  </w:t>
      </w:r>
      <w:r w:rsidRPr="008E1307">
        <w:rPr>
          <w:rFonts w:asciiTheme="minorHAnsi" w:hAnsiTheme="minorHAnsi"/>
          <w:b w:val="0"/>
          <w:bCs w:val="0"/>
        </w:rPr>
        <w:br/>
      </w:r>
    </w:p>
    <w:p w14:paraId="47E595AA" w14:textId="025C96C9"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Adjusted R-squared: 0.9091</w:t>
      </w:r>
    </w:p>
    <w:p w14:paraId="4DAB6383" w14:textId="351152D2"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F-statistic: 999.1 on 5 and 494 DF,</w:t>
      </w:r>
    </w:p>
    <w:p w14:paraId="4A377914" w14:textId="1B112F16" w:rsidR="003F0DCF"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p-value: &lt; 2.2e-16</w:t>
      </w:r>
    </w:p>
    <w:p w14:paraId="7D48140A" w14:textId="2C11BF4F" w:rsidR="00C04F54" w:rsidRPr="008E1307" w:rsidRDefault="00C04F54" w:rsidP="00C04F54">
      <w:pPr>
        <w:pStyle w:val="BodyText"/>
        <w:jc w:val="center"/>
        <w:rPr>
          <w:rFonts w:asciiTheme="minorHAnsi" w:hAnsiTheme="minorHAnsi"/>
          <w:sz w:val="20"/>
          <w:szCs w:val="20"/>
        </w:rPr>
      </w:pPr>
      <w:r w:rsidRPr="008E1307">
        <w:rPr>
          <w:rFonts w:asciiTheme="minorHAnsi" w:hAnsiTheme="minorHAnsi"/>
          <w:sz w:val="20"/>
          <w:szCs w:val="20"/>
        </w:rPr>
        <w:t>Table 1. Original OLS Model</w:t>
      </w:r>
    </w:p>
    <w:p w14:paraId="1575D7CF" w14:textId="36B46448" w:rsidR="00717B25" w:rsidRDefault="0017650A" w:rsidP="00021D91">
      <w:pPr>
        <w:pStyle w:val="BodyText"/>
        <w:rPr>
          <w:rFonts w:asciiTheme="minorHAnsi" w:hAnsiTheme="minorHAnsi"/>
        </w:rPr>
      </w:pPr>
      <w:proofErr w:type="spellStart"/>
      <w:r w:rsidRPr="008E1307">
        <w:rPr>
          <w:rFonts w:asciiTheme="minorHAnsi" w:hAnsiTheme="minorHAnsi"/>
        </w:rPr>
        <w:t>Utt’s</w:t>
      </w:r>
      <w:proofErr w:type="spellEnd"/>
      <w:r w:rsidRPr="008E1307">
        <w:rPr>
          <w:rFonts w:asciiTheme="minorHAnsi" w:hAnsiTheme="minorHAnsi"/>
        </w:rPr>
        <w:t xml:space="preserve"> rainbow test was used to confirm the presence of a linear relationship (p-value = 0.859).</w:t>
      </w:r>
      <w:r w:rsidR="002F273B" w:rsidRPr="008E1307">
        <w:rPr>
          <w:rFonts w:asciiTheme="minorHAnsi" w:hAnsiTheme="minorHAnsi"/>
        </w:rPr>
        <w:t xml:space="preserve"> A collinearity matrix was used to evaluate the independence of the predictor variables and </w:t>
      </w:r>
      <w:r w:rsidR="009906F2" w:rsidRPr="008E1307">
        <w:rPr>
          <w:rFonts w:asciiTheme="minorHAnsi" w:hAnsiTheme="minorHAnsi"/>
        </w:rPr>
        <w:t>low collinearity was observed (Figure 1).</w:t>
      </w:r>
      <w:r w:rsidR="00B768AD" w:rsidRPr="008E1307">
        <w:rPr>
          <w:rFonts w:asciiTheme="minorHAnsi" w:hAnsiTheme="minorHAnsi"/>
        </w:rPr>
        <w:t xml:space="preserve"> </w:t>
      </w:r>
    </w:p>
    <w:p w14:paraId="30D995AD" w14:textId="77777777" w:rsidR="005061FE" w:rsidRPr="008E1307" w:rsidRDefault="005061FE" w:rsidP="005061FE">
      <w:pPr>
        <w:pStyle w:val="Heading4"/>
        <w:rPr>
          <w:rFonts w:asciiTheme="minorHAnsi" w:hAnsiTheme="minorHAnsi"/>
        </w:rPr>
      </w:pPr>
      <w:r w:rsidRPr="008E1307">
        <w:rPr>
          <w:rFonts w:asciiTheme="minorHAnsi" w:hAnsiTheme="minorHAnsi"/>
        </w:rPr>
        <w:t>Assumption 5-7</w:t>
      </w:r>
    </w:p>
    <w:p w14:paraId="264FCA9E" w14:textId="77777777" w:rsidR="005061FE" w:rsidRPr="008E1307" w:rsidRDefault="005061FE" w:rsidP="005061FE">
      <w:pPr>
        <w:pStyle w:val="BodyText"/>
        <w:rPr>
          <w:rFonts w:asciiTheme="minorHAnsi" w:hAnsiTheme="minorHAnsi"/>
        </w:rPr>
      </w:pPr>
      <w:r w:rsidRPr="008E1307">
        <w:rPr>
          <w:rFonts w:asciiTheme="minorHAnsi" w:hAnsiTheme="minorHAnsi"/>
        </w:rPr>
        <w:t>While the model above meets assumption 1-4 and has both and F-statistics indicating that it is highly accurate in predicting each observation (high adjusted R</w:t>
      </w:r>
      <w:r w:rsidRPr="008E1307">
        <w:rPr>
          <w:rFonts w:asciiTheme="minorHAnsi" w:hAnsiTheme="minorHAnsi"/>
          <w:vertAlign w:val="superscript"/>
        </w:rPr>
        <w:t>2</w:t>
      </w:r>
      <w:r w:rsidRPr="008E1307">
        <w:rPr>
          <w:rFonts w:asciiTheme="minorHAnsi" w:hAnsiTheme="minorHAnsi"/>
        </w:rPr>
        <w:t>) and accounts for the overall variation within the data (F-statistic)</w:t>
      </w:r>
      <w:r w:rsidRPr="008E1307">
        <w:rPr>
          <w:rStyle w:val="FootnoteReference"/>
          <w:rFonts w:asciiTheme="minorHAnsi" w:hAnsiTheme="minorHAnsi"/>
        </w:rPr>
        <w:footnoteReference w:id="5"/>
      </w:r>
      <w:r w:rsidRPr="008E1307">
        <w:rPr>
          <w:rFonts w:asciiTheme="minorHAnsi" w:hAnsiTheme="minorHAnsi"/>
        </w:rPr>
        <w:t xml:space="preserve">, cost outcomes tend to follow non-normal patterns in their distribution leading to the use of generalized linear models. </w:t>
      </w:r>
    </w:p>
    <w:p w14:paraId="4177ED5B" w14:textId="612E906C" w:rsidR="005061FE" w:rsidRPr="008E1307" w:rsidRDefault="005061FE" w:rsidP="00021D91">
      <w:pPr>
        <w:pStyle w:val="BodyText"/>
        <w:rPr>
          <w:rFonts w:asciiTheme="minorHAnsi" w:hAnsiTheme="minorHAnsi"/>
        </w:rPr>
      </w:pPr>
      <w:proofErr w:type="gramStart"/>
      <w:r w:rsidRPr="008E1307">
        <w:rPr>
          <w:rFonts w:asciiTheme="minorHAnsi" w:hAnsiTheme="minorHAnsi"/>
        </w:rPr>
        <w:t>In order to</w:t>
      </w:r>
      <w:proofErr w:type="gramEnd"/>
      <w:r w:rsidRPr="008E1307">
        <w:rPr>
          <w:rFonts w:asciiTheme="minorHAnsi" w:hAnsiTheme="minorHAnsi"/>
        </w:rPr>
        <w:t xml:space="preserve"> verify whether these approaches (Poisson regression or Negative Binomial regression) are appropriate, multiple visual and numeric tests were utilized. The </w:t>
      </w:r>
      <w:proofErr w:type="spellStart"/>
      <w:r w:rsidRPr="008E1307">
        <w:rPr>
          <w:rFonts w:asciiTheme="minorHAnsi" w:hAnsiTheme="minorHAnsi"/>
        </w:rPr>
        <w:t>Jarque</w:t>
      </w:r>
      <w:proofErr w:type="spellEnd"/>
      <w:r w:rsidRPr="008E1307">
        <w:rPr>
          <w:rFonts w:asciiTheme="minorHAnsi" w:hAnsiTheme="minorHAnsi"/>
        </w:rPr>
        <w:t xml:space="preserve">-Bera test (p-value = 0.8152) and “Q-Q” plot (Figure 2) indicated a normal distribution of </w:t>
      </w:r>
      <w:r w:rsidRPr="008E1307">
        <w:rPr>
          <w:rFonts w:asciiTheme="minorHAnsi" w:hAnsiTheme="minorHAnsi"/>
        </w:rPr>
        <w:lastRenderedPageBreak/>
        <w:t xml:space="preserve">error terms while the Anderson-Darling test (p-value = 1.2e-06) and the “residuals” plot (Figure 3) indicate an even distribution of error terms. Similarly, the Goldfeld-Quandt test (p-value = 0.9091) does not show a significant amount of heteroskedasticity within the data. </w:t>
      </w:r>
    </w:p>
    <w:p w14:paraId="26A83EEF" w14:textId="27AC09C3" w:rsidR="0017650A" w:rsidRPr="008E1307" w:rsidRDefault="00B831E8" w:rsidP="00B831E8">
      <w:pPr>
        <w:pStyle w:val="BodyText"/>
        <w:jc w:val="center"/>
        <w:rPr>
          <w:rFonts w:asciiTheme="minorHAnsi" w:hAnsiTheme="minorHAnsi"/>
        </w:rPr>
      </w:pPr>
      <w:r w:rsidRPr="008E1307">
        <w:rPr>
          <w:rFonts w:asciiTheme="minorHAnsi" w:hAnsiTheme="minorHAnsi"/>
          <w:noProof/>
        </w:rPr>
        <w:drawing>
          <wp:inline distT="0" distB="0" distL="0" distR="0" wp14:anchorId="728D3A88" wp14:editId="125E6F8A">
            <wp:extent cx="4303886" cy="418381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t="2790"/>
                    <a:stretch/>
                  </pic:blipFill>
                  <pic:spPr bwMode="auto">
                    <a:xfrm>
                      <a:off x="0" y="0"/>
                      <a:ext cx="4319808" cy="4199289"/>
                    </a:xfrm>
                    <a:prstGeom prst="rect">
                      <a:avLst/>
                    </a:prstGeom>
                    <a:noFill/>
                    <a:ln>
                      <a:noFill/>
                    </a:ln>
                    <a:extLst>
                      <a:ext uri="{53640926-AAD7-44D8-BBD7-CCE9431645EC}">
                        <a14:shadowObscured xmlns:a14="http://schemas.microsoft.com/office/drawing/2010/main"/>
                      </a:ext>
                    </a:extLst>
                  </pic:spPr>
                </pic:pic>
              </a:graphicData>
            </a:graphic>
          </wp:inline>
        </w:drawing>
      </w:r>
    </w:p>
    <w:p w14:paraId="0DFF3C1C" w14:textId="18019EA2" w:rsidR="004D615B" w:rsidRPr="005061FE" w:rsidRDefault="004D615B" w:rsidP="00B831E8">
      <w:pPr>
        <w:pStyle w:val="BodyText"/>
        <w:jc w:val="center"/>
        <w:rPr>
          <w:rFonts w:asciiTheme="minorHAnsi" w:hAnsiTheme="minorHAnsi"/>
          <w:sz w:val="20"/>
          <w:szCs w:val="20"/>
        </w:rPr>
      </w:pPr>
      <w:r w:rsidRPr="005061FE">
        <w:rPr>
          <w:rFonts w:asciiTheme="minorHAnsi" w:hAnsiTheme="minorHAnsi"/>
          <w:sz w:val="20"/>
          <w:szCs w:val="20"/>
        </w:rPr>
        <w:t>Figure 1. Correlation Matrix for Predictor</w:t>
      </w:r>
      <w:r w:rsidR="001D1335" w:rsidRPr="005061FE">
        <w:rPr>
          <w:rFonts w:asciiTheme="minorHAnsi" w:hAnsiTheme="minorHAnsi"/>
          <w:sz w:val="20"/>
          <w:szCs w:val="20"/>
        </w:rPr>
        <w:t>s</w:t>
      </w:r>
    </w:p>
    <w:p w14:paraId="33532152" w14:textId="5EADD180" w:rsidR="001A2782" w:rsidRPr="008E1307" w:rsidRDefault="0048342C" w:rsidP="00C04F54">
      <w:pPr>
        <w:pStyle w:val="BodyText"/>
        <w:jc w:val="center"/>
        <w:rPr>
          <w:rStyle w:val="VerbatimChar"/>
          <w:rFonts w:asciiTheme="minorHAnsi" w:hAnsiTheme="minorHAnsi"/>
          <w:sz w:val="24"/>
        </w:rPr>
      </w:pPr>
      <w:r w:rsidRPr="008E1307">
        <w:rPr>
          <w:rFonts w:asciiTheme="minorHAnsi" w:hAnsiTheme="minorHAnsi"/>
          <w:noProof/>
        </w:rPr>
        <w:drawing>
          <wp:anchor distT="0" distB="0" distL="114300" distR="114300" simplePos="0" relativeHeight="251658240" behindDoc="0" locked="0" layoutInCell="1" allowOverlap="1" wp14:anchorId="29F8F235" wp14:editId="4A8EAC14">
            <wp:simplePos x="0" y="0"/>
            <wp:positionH relativeFrom="margin">
              <wp:posOffset>3157268</wp:posOffset>
            </wp:positionH>
            <wp:positionV relativeFrom="paragraph">
              <wp:posOffset>16881</wp:posOffset>
            </wp:positionV>
            <wp:extent cx="2794635" cy="27946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794635" cy="279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110" w:rsidRPr="008E1307">
        <w:rPr>
          <w:rStyle w:val="VerbatimChar"/>
          <w:rFonts w:asciiTheme="minorHAnsi" w:hAnsiTheme="minorHAnsi"/>
          <w:noProof/>
        </w:rPr>
        <w:drawing>
          <wp:inline distT="0" distB="0" distL="0" distR="0" wp14:anchorId="23735846" wp14:editId="6892E309">
            <wp:extent cx="2777706" cy="277770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5154" cy="2795154"/>
                    </a:xfrm>
                    <a:prstGeom prst="rect">
                      <a:avLst/>
                    </a:prstGeom>
                    <a:noFill/>
                    <a:ln>
                      <a:noFill/>
                    </a:ln>
                  </pic:spPr>
                </pic:pic>
              </a:graphicData>
            </a:graphic>
          </wp:inline>
        </w:drawing>
      </w:r>
    </w:p>
    <w:p w14:paraId="5C959ED5" w14:textId="77777777" w:rsidR="00C04F54" w:rsidRPr="008E1307" w:rsidRDefault="00C04F54" w:rsidP="00C04F54">
      <w:pPr>
        <w:pStyle w:val="BodyText"/>
        <w:jc w:val="center"/>
        <w:rPr>
          <w:rFonts w:asciiTheme="minorHAnsi" w:hAnsiTheme="minorHAnsi"/>
          <w:sz w:val="20"/>
          <w:szCs w:val="20"/>
        </w:rPr>
      </w:pPr>
      <w:r w:rsidRPr="008E1307">
        <w:rPr>
          <w:rFonts w:asciiTheme="minorHAnsi" w:hAnsiTheme="minorHAnsi"/>
          <w:sz w:val="20"/>
          <w:szCs w:val="20"/>
        </w:rPr>
        <w:t>Figure 2. Q-Q Plot and Figure 3. Residuals Plot</w:t>
      </w:r>
    </w:p>
    <w:p w14:paraId="344E06F8" w14:textId="070DFDFA" w:rsidR="004B2B93" w:rsidRPr="008E1307" w:rsidRDefault="00B64085" w:rsidP="00D7200C">
      <w:pPr>
        <w:pStyle w:val="BodyText"/>
        <w:rPr>
          <w:rFonts w:asciiTheme="minorHAnsi" w:hAnsiTheme="minorHAnsi"/>
        </w:rPr>
      </w:pPr>
      <w:r w:rsidRPr="008E1307">
        <w:rPr>
          <w:rFonts w:asciiTheme="minorHAnsi" w:hAnsiTheme="minorHAnsi"/>
        </w:rPr>
        <w:lastRenderedPageBreak/>
        <w:t>The findings above indicate that all OLS assumptions are broadly met</w:t>
      </w:r>
      <w:r w:rsidR="004B2B93" w:rsidRPr="008E1307">
        <w:rPr>
          <w:rFonts w:asciiTheme="minorHAnsi" w:hAnsiTheme="minorHAnsi"/>
        </w:rPr>
        <w:t xml:space="preserve"> and an</w:t>
      </w:r>
      <w:r w:rsidRPr="008E1307">
        <w:rPr>
          <w:rFonts w:asciiTheme="minorHAnsi" w:hAnsiTheme="minorHAnsi"/>
        </w:rPr>
        <w:t xml:space="preserve"> OLS model is an appropriate way to model the relationship between ER visits and </w:t>
      </w:r>
      <w:r w:rsidR="00B55A4C" w:rsidRPr="008E1307">
        <w:rPr>
          <w:rFonts w:asciiTheme="minorHAnsi" w:hAnsiTheme="minorHAnsi"/>
        </w:rPr>
        <w:t>cost.</w:t>
      </w:r>
      <w:r w:rsidR="004B2B93" w:rsidRPr="008E1307">
        <w:rPr>
          <w:rFonts w:asciiTheme="minorHAnsi" w:hAnsiTheme="minorHAnsi"/>
        </w:rPr>
        <w:t xml:space="preserve"> While the outcome is a cost measurement, generalized linear models are not necessary in this case. </w:t>
      </w:r>
    </w:p>
    <w:p w14:paraId="246F6AD7" w14:textId="6BF36E43" w:rsidR="0059061B" w:rsidRPr="008E1307" w:rsidRDefault="00B64085" w:rsidP="00D7200C">
      <w:pPr>
        <w:pStyle w:val="BodyText"/>
        <w:rPr>
          <w:rFonts w:asciiTheme="minorHAnsi" w:hAnsiTheme="minorHAnsi"/>
        </w:rPr>
      </w:pPr>
      <w:r w:rsidRPr="008E1307">
        <w:rPr>
          <w:rFonts w:asciiTheme="minorHAnsi" w:hAnsiTheme="minorHAnsi"/>
        </w:rPr>
        <w:t xml:space="preserve">However, </w:t>
      </w:r>
      <w:r w:rsidR="004D5777" w:rsidRPr="008E1307">
        <w:rPr>
          <w:rFonts w:asciiTheme="minorHAnsi" w:hAnsiTheme="minorHAnsi"/>
        </w:rPr>
        <w:t xml:space="preserve">both the </w:t>
      </w:r>
      <w:r w:rsidRPr="008E1307">
        <w:rPr>
          <w:rFonts w:asciiTheme="minorHAnsi" w:hAnsiTheme="minorHAnsi"/>
        </w:rPr>
        <w:t xml:space="preserve">relatively high negative correlation of ER visits </w:t>
      </w:r>
      <w:r w:rsidR="004D5777" w:rsidRPr="008E1307">
        <w:rPr>
          <w:rFonts w:asciiTheme="minorHAnsi" w:hAnsiTheme="minorHAnsi"/>
        </w:rPr>
        <w:t>with</w:t>
      </w:r>
      <w:r w:rsidRPr="008E1307">
        <w:rPr>
          <w:rFonts w:asciiTheme="minorHAnsi" w:hAnsiTheme="minorHAnsi"/>
        </w:rPr>
        <w:t xml:space="preserve"> “Very High” severity and positive correlation of ER visits with “Very Low”</w:t>
      </w:r>
      <w:r w:rsidR="004D5777" w:rsidRPr="008E1307">
        <w:rPr>
          <w:rFonts w:asciiTheme="minorHAnsi" w:hAnsiTheme="minorHAnsi"/>
        </w:rPr>
        <w:t xml:space="preserve"> severity</w:t>
      </w:r>
      <w:r w:rsidRPr="008E1307">
        <w:rPr>
          <w:rFonts w:asciiTheme="minorHAnsi" w:hAnsiTheme="minorHAnsi"/>
        </w:rPr>
        <w:t xml:space="preserve"> is an observation of interest. Similarly, the coefficients for severity level are much higher in magnitude when compared to the number of ER visits</w:t>
      </w:r>
      <w:r w:rsidR="003F733D" w:rsidRPr="008E1307">
        <w:rPr>
          <w:rFonts w:asciiTheme="minorHAnsi" w:hAnsiTheme="minorHAnsi"/>
        </w:rPr>
        <w:t xml:space="preserve">. These </w:t>
      </w:r>
      <w:r w:rsidRPr="008E1307">
        <w:rPr>
          <w:rFonts w:asciiTheme="minorHAnsi" w:hAnsiTheme="minorHAnsi"/>
        </w:rPr>
        <w:t xml:space="preserve">initial findings require adjustment in the modeling approach. </w:t>
      </w:r>
    </w:p>
    <w:p w14:paraId="3B89A918" w14:textId="52097846" w:rsidR="00113D06" w:rsidRPr="008E1307" w:rsidRDefault="00113D06" w:rsidP="007954AD">
      <w:pPr>
        <w:pStyle w:val="Heading4"/>
        <w:rPr>
          <w:rFonts w:asciiTheme="minorHAnsi" w:hAnsiTheme="minorHAnsi"/>
        </w:rPr>
      </w:pPr>
      <w:r w:rsidRPr="008E1307">
        <w:rPr>
          <w:rFonts w:asciiTheme="minorHAnsi" w:hAnsiTheme="minorHAnsi"/>
        </w:rPr>
        <w:t>Hierarchical Linear Model</w:t>
      </w:r>
    </w:p>
    <w:p w14:paraId="7816BE26" w14:textId="02A63242" w:rsidR="00113D06" w:rsidRPr="008E1307" w:rsidRDefault="00B55A4C" w:rsidP="00A20F94">
      <w:pPr>
        <w:pStyle w:val="BodyText"/>
        <w:rPr>
          <w:rFonts w:asciiTheme="minorHAnsi" w:hAnsiTheme="minorHAnsi"/>
        </w:rPr>
      </w:pPr>
      <w:proofErr w:type="gramStart"/>
      <w:r w:rsidRPr="008E1307">
        <w:rPr>
          <w:rFonts w:asciiTheme="minorHAnsi" w:hAnsiTheme="minorHAnsi"/>
        </w:rPr>
        <w:t>In order to</w:t>
      </w:r>
      <w:proofErr w:type="gramEnd"/>
      <w:r w:rsidRPr="008E1307">
        <w:rPr>
          <w:rFonts w:asciiTheme="minorHAnsi" w:hAnsiTheme="minorHAnsi"/>
        </w:rPr>
        <w:t xml:space="preserve"> separate the possible effect of </w:t>
      </w:r>
      <w:r w:rsidR="00871BCF" w:rsidRPr="008E1307">
        <w:rPr>
          <w:rFonts w:asciiTheme="minorHAnsi" w:hAnsiTheme="minorHAnsi"/>
        </w:rPr>
        <w:t xml:space="preserve">severity on ER visits, a hierarchical linear model </w:t>
      </w:r>
      <w:r w:rsidR="00A20F94" w:rsidRPr="008E1307">
        <w:rPr>
          <w:rFonts w:asciiTheme="minorHAnsi" w:hAnsiTheme="minorHAnsi"/>
        </w:rPr>
        <w:t xml:space="preserve">(HLM) </w:t>
      </w:r>
      <w:r w:rsidR="002B5F58" w:rsidRPr="008E1307">
        <w:rPr>
          <w:rFonts w:asciiTheme="minorHAnsi" w:hAnsiTheme="minorHAnsi"/>
        </w:rPr>
        <w:t xml:space="preserve">using </w:t>
      </w:r>
      <w:r w:rsidR="007959C9" w:rsidRPr="008E1307">
        <w:rPr>
          <w:rFonts w:asciiTheme="minorHAnsi" w:hAnsiTheme="minorHAnsi"/>
        </w:rPr>
        <w:t>severity level as the higher level with intercepts allowed to vary within all observations</w:t>
      </w:r>
      <w:r w:rsidR="003F733D" w:rsidRPr="008E1307">
        <w:rPr>
          <w:rFonts w:asciiTheme="minorHAnsi" w:hAnsiTheme="minorHAnsi"/>
        </w:rPr>
        <w:t xml:space="preserve"> was developed.</w:t>
      </w:r>
      <w:r w:rsidR="004D0C7E" w:rsidRPr="008E1307">
        <w:rPr>
          <w:rFonts w:asciiTheme="minorHAnsi" w:hAnsiTheme="minorHAnsi"/>
        </w:rPr>
        <w:t xml:space="preserve"> </w:t>
      </w:r>
      <w:r w:rsidR="00CD546E" w:rsidRPr="008E1307">
        <w:rPr>
          <w:rFonts w:asciiTheme="minorHAnsi" w:hAnsiTheme="minorHAnsi"/>
        </w:rPr>
        <w:t xml:space="preserve">This </w:t>
      </w:r>
      <w:r w:rsidR="003F733D" w:rsidRPr="008E1307">
        <w:rPr>
          <w:rFonts w:asciiTheme="minorHAnsi" w:hAnsiTheme="minorHAnsi"/>
        </w:rPr>
        <w:t>model</w:t>
      </w:r>
      <w:r w:rsidR="00CD546E" w:rsidRPr="008E1307">
        <w:rPr>
          <w:rFonts w:asciiTheme="minorHAnsi" w:hAnsiTheme="minorHAnsi"/>
        </w:rPr>
        <w:t xml:space="preserve"> allow</w:t>
      </w:r>
      <w:r w:rsidR="003F733D" w:rsidRPr="008E1307">
        <w:rPr>
          <w:rFonts w:asciiTheme="minorHAnsi" w:hAnsiTheme="minorHAnsi"/>
        </w:rPr>
        <w:t>s</w:t>
      </w:r>
      <w:r w:rsidR="00CD546E" w:rsidRPr="008E1307">
        <w:rPr>
          <w:rFonts w:asciiTheme="minorHAnsi" w:hAnsiTheme="minorHAnsi"/>
        </w:rPr>
        <w:t xml:space="preserve"> for the calculation of the </w:t>
      </w:r>
      <w:r w:rsidR="003F733D" w:rsidRPr="008E1307">
        <w:rPr>
          <w:rFonts w:asciiTheme="minorHAnsi" w:hAnsiTheme="minorHAnsi"/>
        </w:rPr>
        <w:t>i</w:t>
      </w:r>
      <w:r w:rsidR="00CD546E" w:rsidRPr="008E1307">
        <w:rPr>
          <w:rFonts w:asciiTheme="minorHAnsi" w:hAnsiTheme="minorHAnsi"/>
        </w:rPr>
        <w:t xml:space="preserve">ntra-class correlation </w:t>
      </w:r>
      <w:r w:rsidR="00FE10E7" w:rsidRPr="008E1307">
        <w:rPr>
          <w:rFonts w:asciiTheme="minorHAnsi" w:hAnsiTheme="minorHAnsi"/>
        </w:rPr>
        <w:t xml:space="preserve">coefficient </w:t>
      </w:r>
      <w:r w:rsidR="00A20F94" w:rsidRPr="008E1307">
        <w:rPr>
          <w:rFonts w:asciiTheme="minorHAnsi" w:hAnsiTheme="minorHAnsi"/>
        </w:rPr>
        <w:t xml:space="preserve">(ICC) </w:t>
      </w:r>
      <w:r w:rsidR="00FE10E7" w:rsidRPr="008E1307">
        <w:rPr>
          <w:rFonts w:asciiTheme="minorHAnsi" w:hAnsiTheme="minorHAnsi"/>
        </w:rPr>
        <w:t xml:space="preserve">that can describe the amount of variation attributed to </w:t>
      </w:r>
      <w:r w:rsidR="00A20F94" w:rsidRPr="008E1307">
        <w:rPr>
          <w:rFonts w:asciiTheme="minorHAnsi" w:hAnsiTheme="minorHAnsi"/>
        </w:rPr>
        <w:t>different</w:t>
      </w:r>
      <w:r w:rsidR="00FE10E7" w:rsidRPr="008E1307">
        <w:rPr>
          <w:rFonts w:asciiTheme="minorHAnsi" w:hAnsiTheme="minorHAnsi"/>
        </w:rPr>
        <w:t xml:space="preserve"> level</w:t>
      </w:r>
      <w:r w:rsidR="00A20F94" w:rsidRPr="008E1307">
        <w:rPr>
          <w:rFonts w:asciiTheme="minorHAnsi" w:hAnsiTheme="minorHAnsi"/>
        </w:rPr>
        <w:t>s</w:t>
      </w:r>
      <w:r w:rsidR="003F733D" w:rsidRPr="008E1307">
        <w:rPr>
          <w:rFonts w:asciiTheme="minorHAnsi" w:hAnsiTheme="minorHAnsi"/>
        </w:rPr>
        <w:t xml:space="preserve"> within the hierarchical model</w:t>
      </w:r>
      <w:r w:rsidR="00FE10E7" w:rsidRPr="008E1307">
        <w:rPr>
          <w:rFonts w:asciiTheme="minorHAnsi" w:hAnsiTheme="minorHAnsi"/>
        </w:rPr>
        <w:t>.</w:t>
      </w:r>
      <w:r w:rsidR="003F733D" w:rsidRPr="008E1307">
        <w:rPr>
          <w:rFonts w:asciiTheme="minorHAnsi" w:hAnsiTheme="minorHAnsi"/>
        </w:rPr>
        <w:t xml:space="preserve"> In this case, the ICC can describe the variation in the data attributed to severity level when </w:t>
      </w:r>
      <w:r w:rsidR="007A5C62" w:rsidRPr="008E1307">
        <w:rPr>
          <w:rFonts w:asciiTheme="minorHAnsi" w:hAnsiTheme="minorHAnsi"/>
        </w:rPr>
        <w:t>modeling the relationship between ER visits and cost.</w:t>
      </w:r>
      <w:r w:rsidR="00FE10E7" w:rsidRPr="008E1307">
        <w:rPr>
          <w:rFonts w:asciiTheme="minorHAnsi" w:hAnsiTheme="minorHAnsi"/>
        </w:rPr>
        <w:t xml:space="preserve"> </w:t>
      </w:r>
      <w:r w:rsidR="00851693" w:rsidRPr="008E1307">
        <w:rPr>
          <w:rFonts w:asciiTheme="minorHAnsi" w:hAnsiTheme="minorHAnsi"/>
        </w:rPr>
        <w:t xml:space="preserve">Table 2 shows the results of the final HLM model. </w:t>
      </w:r>
    </w:p>
    <w:p w14:paraId="2602E69F" w14:textId="77777777" w:rsidR="00813906" w:rsidRPr="008E1307" w:rsidRDefault="00813906" w:rsidP="00113D06">
      <w:pPr>
        <w:pStyle w:val="Compact"/>
        <w:rPr>
          <w:rFonts w:asciiTheme="minorHAnsi" w:hAnsiTheme="minorHAnsi"/>
          <w:b w:val="0"/>
          <w:bCs w:val="0"/>
        </w:rPr>
      </w:pPr>
    </w:p>
    <w:p w14:paraId="79792695" w14:textId="50F9412E" w:rsidR="00060DF9" w:rsidRPr="008E1307" w:rsidRDefault="00987EB3" w:rsidP="00113D06">
      <w:pPr>
        <w:pStyle w:val="Compact"/>
        <w:rPr>
          <w:rFonts w:asciiTheme="minorHAnsi" w:hAnsiTheme="minorHAnsi"/>
          <w:b w:val="0"/>
          <w:bCs w:val="0"/>
        </w:rPr>
      </w:pPr>
      <w:r w:rsidRPr="008E1307">
        <w:rPr>
          <w:rFonts w:asciiTheme="minorHAnsi" w:hAnsiTheme="minorHAnsi"/>
          <w:b w:val="0"/>
          <w:bCs w:val="0"/>
        </w:rPr>
        <w:t xml:space="preserve">Fixed effects: </w:t>
      </w:r>
      <w:r w:rsidR="00813906" w:rsidRPr="008E1307">
        <w:rPr>
          <w:rFonts w:asciiTheme="minorHAnsi" w:hAnsiTheme="minorHAnsi"/>
          <w:b w:val="0"/>
          <w:bCs w:val="0"/>
        </w:rPr>
        <w:tab/>
      </w:r>
      <w:r w:rsidRPr="008E1307">
        <w:rPr>
          <w:rFonts w:asciiTheme="minorHAnsi" w:hAnsiTheme="minorHAnsi"/>
          <w:b w:val="0"/>
          <w:bCs w:val="0"/>
        </w:rPr>
        <w:t xml:space="preserve">Estimate </w:t>
      </w:r>
      <w:r w:rsidR="00813906" w:rsidRPr="008E1307">
        <w:rPr>
          <w:rFonts w:asciiTheme="minorHAnsi" w:hAnsiTheme="minorHAnsi"/>
          <w:b w:val="0"/>
          <w:bCs w:val="0"/>
        </w:rPr>
        <w:tab/>
      </w:r>
      <w:r w:rsidRPr="008E1307">
        <w:rPr>
          <w:rFonts w:asciiTheme="minorHAnsi" w:hAnsiTheme="minorHAnsi"/>
          <w:b w:val="0"/>
          <w:bCs w:val="0"/>
        </w:rPr>
        <w:t xml:space="preserve">Std. </w:t>
      </w:r>
      <w:r w:rsidR="00813906" w:rsidRPr="008E1307">
        <w:rPr>
          <w:rFonts w:asciiTheme="minorHAnsi" w:hAnsiTheme="minorHAnsi"/>
          <w:b w:val="0"/>
          <w:bCs w:val="0"/>
        </w:rPr>
        <w:tab/>
      </w:r>
      <w:r w:rsidR="00813906" w:rsidRPr="008E1307">
        <w:rPr>
          <w:rFonts w:asciiTheme="minorHAnsi" w:hAnsiTheme="minorHAnsi"/>
          <w:b w:val="0"/>
          <w:bCs w:val="0"/>
        </w:rPr>
        <w:tab/>
      </w:r>
      <w:r w:rsidRPr="008E1307">
        <w:rPr>
          <w:rFonts w:asciiTheme="minorHAnsi" w:hAnsiTheme="minorHAnsi"/>
          <w:b w:val="0"/>
          <w:bCs w:val="0"/>
        </w:rPr>
        <w:t xml:space="preserve">Error </w:t>
      </w:r>
      <w:r w:rsidR="00813906"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dt value </w:t>
      </w:r>
      <w:r w:rsidR="00813906" w:rsidRPr="008E1307">
        <w:rPr>
          <w:rFonts w:asciiTheme="minorHAnsi" w:hAnsiTheme="minorHAnsi"/>
          <w:b w:val="0"/>
          <w:bCs w:val="0"/>
        </w:rPr>
        <w:tab/>
      </w:r>
      <w:proofErr w:type="spellStart"/>
      <w:r w:rsidRPr="008E1307">
        <w:rPr>
          <w:rFonts w:asciiTheme="minorHAnsi" w:hAnsiTheme="minorHAnsi"/>
          <w:b w:val="0"/>
          <w:bCs w:val="0"/>
        </w:rPr>
        <w:t>Pr</w:t>
      </w:r>
      <w:proofErr w:type="spellEnd"/>
      <w:r w:rsidRPr="008E1307">
        <w:rPr>
          <w:rFonts w:asciiTheme="minorHAnsi" w:hAnsiTheme="minorHAnsi"/>
          <w:b w:val="0"/>
          <w:bCs w:val="0"/>
        </w:rPr>
        <w:t>(&gt;|t|)</w:t>
      </w:r>
      <w:r w:rsidRPr="008E1307">
        <w:rPr>
          <w:rFonts w:asciiTheme="minorHAnsi" w:hAnsiTheme="minorHAnsi"/>
          <w:b w:val="0"/>
          <w:bCs w:val="0"/>
        </w:rPr>
        <w:br/>
        <w:t xml:space="preserve">(Intercept) </w:t>
      </w:r>
      <w:r w:rsidR="00813906" w:rsidRPr="008E1307">
        <w:rPr>
          <w:rFonts w:asciiTheme="minorHAnsi" w:hAnsiTheme="minorHAnsi"/>
          <w:b w:val="0"/>
          <w:bCs w:val="0"/>
        </w:rPr>
        <w:tab/>
      </w:r>
      <w:r w:rsidRPr="008E1307">
        <w:rPr>
          <w:rFonts w:asciiTheme="minorHAnsi" w:hAnsiTheme="minorHAnsi"/>
          <w:b w:val="0"/>
          <w:bCs w:val="0"/>
        </w:rPr>
        <w:t xml:space="preserve">21305.505 </w:t>
      </w:r>
      <w:r w:rsidR="00813906" w:rsidRPr="008E1307">
        <w:rPr>
          <w:rFonts w:asciiTheme="minorHAnsi" w:hAnsiTheme="minorHAnsi"/>
          <w:b w:val="0"/>
          <w:bCs w:val="0"/>
        </w:rPr>
        <w:tab/>
      </w:r>
      <w:r w:rsidRPr="008E1307">
        <w:rPr>
          <w:rFonts w:asciiTheme="minorHAnsi" w:hAnsiTheme="minorHAnsi"/>
          <w:b w:val="0"/>
          <w:bCs w:val="0"/>
        </w:rPr>
        <w:t xml:space="preserve">4871.102 </w:t>
      </w:r>
      <w:r w:rsidR="00813906" w:rsidRPr="008E1307">
        <w:rPr>
          <w:rFonts w:asciiTheme="minorHAnsi" w:hAnsiTheme="minorHAnsi"/>
          <w:b w:val="0"/>
          <w:bCs w:val="0"/>
        </w:rPr>
        <w:tab/>
      </w:r>
      <w:r w:rsidRPr="008E1307">
        <w:rPr>
          <w:rFonts w:asciiTheme="minorHAnsi" w:hAnsiTheme="minorHAnsi"/>
          <w:b w:val="0"/>
          <w:bCs w:val="0"/>
        </w:rPr>
        <w:t xml:space="preserve">4.124 </w:t>
      </w:r>
      <w:r w:rsidR="00813906"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4.374 </w:t>
      </w:r>
      <w:r w:rsidR="00813906" w:rsidRPr="008E1307">
        <w:rPr>
          <w:rFonts w:asciiTheme="minorHAnsi" w:hAnsiTheme="minorHAnsi"/>
          <w:b w:val="0"/>
          <w:bCs w:val="0"/>
        </w:rPr>
        <w:tab/>
      </w:r>
      <w:r w:rsidR="00813906" w:rsidRPr="008E1307">
        <w:rPr>
          <w:rFonts w:asciiTheme="minorHAnsi" w:hAnsiTheme="minorHAnsi"/>
          <w:b w:val="0"/>
          <w:bCs w:val="0"/>
        </w:rPr>
        <w:tab/>
      </w:r>
      <w:r w:rsidRPr="008E1307">
        <w:rPr>
          <w:rFonts w:asciiTheme="minorHAnsi" w:hAnsiTheme="minorHAnsi"/>
          <w:b w:val="0"/>
          <w:bCs w:val="0"/>
        </w:rPr>
        <w:t xml:space="preserve">0.0111 </w:t>
      </w:r>
      <w:r w:rsidRPr="008E1307">
        <w:rPr>
          <w:rFonts w:asciiTheme="minorHAnsi" w:hAnsiTheme="minorHAnsi"/>
          <w:b w:val="0"/>
          <w:bCs w:val="0"/>
        </w:rPr>
        <w:br/>
      </w:r>
      <w:proofErr w:type="spellStart"/>
      <w:r w:rsidRPr="008E1307">
        <w:rPr>
          <w:rFonts w:asciiTheme="minorHAnsi" w:hAnsiTheme="minorHAnsi"/>
          <w:b w:val="0"/>
          <w:bCs w:val="0"/>
        </w:rPr>
        <w:t>ER_Visits</w:t>
      </w:r>
      <w:proofErr w:type="spellEnd"/>
      <w:r w:rsidRPr="008E1307">
        <w:rPr>
          <w:rFonts w:asciiTheme="minorHAnsi" w:hAnsiTheme="minorHAnsi"/>
          <w:b w:val="0"/>
          <w:bCs w:val="0"/>
        </w:rPr>
        <w:t xml:space="preserve"> </w:t>
      </w:r>
      <w:r w:rsidR="00AE1865"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1808.623 </w:t>
      </w:r>
      <w:r w:rsidR="00AE1865" w:rsidRPr="008E1307">
        <w:rPr>
          <w:rFonts w:asciiTheme="minorHAnsi" w:hAnsiTheme="minorHAnsi"/>
          <w:b w:val="0"/>
          <w:bCs w:val="0"/>
        </w:rPr>
        <w:tab/>
      </w:r>
      <w:r w:rsidRPr="008E1307">
        <w:rPr>
          <w:rFonts w:asciiTheme="minorHAnsi" w:hAnsiTheme="minorHAnsi"/>
          <w:b w:val="0"/>
          <w:bCs w:val="0"/>
        </w:rPr>
        <w:t xml:space="preserve">102.764 </w:t>
      </w:r>
      <w:r w:rsidR="00AE1865" w:rsidRPr="008E1307">
        <w:rPr>
          <w:rFonts w:asciiTheme="minorHAnsi" w:hAnsiTheme="minorHAnsi"/>
          <w:b w:val="0"/>
          <w:bCs w:val="0"/>
        </w:rPr>
        <w:tab/>
      </w:r>
      <w:r w:rsidRPr="008E1307">
        <w:rPr>
          <w:rFonts w:asciiTheme="minorHAnsi" w:hAnsiTheme="minorHAnsi"/>
          <w:b w:val="0"/>
          <w:bCs w:val="0"/>
        </w:rPr>
        <w:t xml:space="preserve">494.942 </w:t>
      </w:r>
      <w:r w:rsidR="00AE1865" w:rsidRPr="008E1307">
        <w:rPr>
          <w:rFonts w:asciiTheme="minorHAnsi" w:hAnsiTheme="minorHAnsi"/>
          <w:b w:val="0"/>
          <w:bCs w:val="0"/>
        </w:rPr>
        <w:tab/>
      </w:r>
      <w:r w:rsidRPr="008E1307">
        <w:rPr>
          <w:rFonts w:asciiTheme="minorHAnsi" w:hAnsiTheme="minorHAnsi"/>
          <w:b w:val="0"/>
          <w:bCs w:val="0"/>
        </w:rPr>
        <w:t xml:space="preserve">17.600 </w:t>
      </w:r>
      <w:r w:rsidR="00AE1865"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&lt;2e-16 </w:t>
      </w:r>
    </w:p>
    <w:p w14:paraId="4731427B" w14:textId="6247F3FF" w:rsidR="00C346EE" w:rsidRPr="008E1307" w:rsidRDefault="00C346EE" w:rsidP="00A20F94">
      <w:pPr>
        <w:pStyle w:val="Compact"/>
        <w:ind w:left="0"/>
        <w:rPr>
          <w:rFonts w:asciiTheme="minorHAnsi" w:hAnsiTheme="minorHAnsi"/>
          <w:b w:val="0"/>
          <w:bCs w:val="0"/>
        </w:rPr>
      </w:pPr>
    </w:p>
    <w:p w14:paraId="4E672ABF" w14:textId="48E6E2F5" w:rsidR="00813906" w:rsidRPr="008E1307" w:rsidRDefault="00987EB3" w:rsidP="00A20F94">
      <w:pPr>
        <w:pStyle w:val="Compact"/>
        <w:ind w:left="0" w:firstLine="480"/>
        <w:rPr>
          <w:rFonts w:asciiTheme="minorHAnsi" w:hAnsiTheme="minorHAnsi"/>
          <w:b w:val="0"/>
          <w:bCs w:val="0"/>
        </w:rPr>
      </w:pPr>
      <w:r w:rsidRPr="008E1307">
        <w:rPr>
          <w:rFonts w:asciiTheme="minorHAnsi" w:hAnsiTheme="minorHAnsi"/>
          <w:b w:val="0"/>
          <w:bCs w:val="0"/>
        </w:rPr>
        <w:t xml:space="preserve">One Way ANOVA </w:t>
      </w:r>
      <w:r w:rsidR="00A20F94" w:rsidRPr="008E1307">
        <w:rPr>
          <w:rFonts w:asciiTheme="minorHAnsi" w:hAnsiTheme="minorHAnsi"/>
          <w:b w:val="0"/>
          <w:bCs w:val="0"/>
        </w:rPr>
        <w:t>p-value</w:t>
      </w:r>
      <w:r w:rsidRPr="008E1307">
        <w:rPr>
          <w:rFonts w:asciiTheme="minorHAnsi" w:hAnsiTheme="minorHAnsi"/>
          <w:b w:val="0"/>
          <w:bCs w:val="0"/>
        </w:rPr>
        <w:t xml:space="preserve"> &lt; 2.2e-16</w:t>
      </w:r>
      <w:r w:rsidR="00C346EE" w:rsidRPr="008E1307">
        <w:rPr>
          <w:rFonts w:asciiTheme="minorHAnsi" w:hAnsiTheme="minorHAnsi"/>
          <w:b w:val="0"/>
          <w:bCs w:val="0"/>
        </w:rPr>
        <w:tab/>
      </w:r>
    </w:p>
    <w:p w14:paraId="13CB2268" w14:textId="7554455E" w:rsidR="00060DF9" w:rsidRPr="008E1307" w:rsidRDefault="00987EB3" w:rsidP="00A20F94">
      <w:pPr>
        <w:pStyle w:val="Compact"/>
        <w:rPr>
          <w:rStyle w:val="VerbatimChar"/>
          <w:rFonts w:asciiTheme="minorHAnsi" w:hAnsiTheme="minorHAnsi"/>
          <w:b w:val="0"/>
          <w:bCs w:val="0"/>
        </w:rPr>
      </w:pPr>
      <w:bookmarkStart w:id="2" w:name="intraclass-correlation-coefficient"/>
      <w:bookmarkEnd w:id="0"/>
      <w:bookmarkEnd w:id="1"/>
      <w:r w:rsidRPr="008E1307">
        <w:rPr>
          <w:rFonts w:asciiTheme="minorHAnsi" w:hAnsiTheme="minorHAnsi"/>
          <w:b w:val="0"/>
          <w:bCs w:val="0"/>
        </w:rPr>
        <w:t>Intraclass Correlation Coefficient</w:t>
      </w:r>
      <w:r w:rsidR="00A20F94" w:rsidRPr="008E1307">
        <w:rPr>
          <w:rFonts w:asciiTheme="minorHAnsi" w:hAnsiTheme="minorHAnsi"/>
          <w:b w:val="0"/>
          <w:bCs w:val="0"/>
        </w:rPr>
        <w:t xml:space="preserve"> (Adjusted)</w:t>
      </w:r>
      <w:r w:rsidRPr="008E1307">
        <w:rPr>
          <w:rStyle w:val="VerbatimChar"/>
          <w:rFonts w:asciiTheme="minorHAnsi" w:hAnsiTheme="minorHAnsi"/>
          <w:b w:val="0"/>
          <w:bCs w:val="0"/>
        </w:rPr>
        <w:t>: 0.958</w:t>
      </w:r>
    </w:p>
    <w:p w14:paraId="48E089FF" w14:textId="1D46CC99" w:rsidR="00A20F94" w:rsidRPr="008E1307" w:rsidRDefault="00A20F94" w:rsidP="00A20F94">
      <w:pPr>
        <w:pStyle w:val="BodyText"/>
        <w:jc w:val="center"/>
        <w:rPr>
          <w:rFonts w:asciiTheme="minorHAnsi" w:hAnsiTheme="minorHAnsi"/>
          <w:sz w:val="20"/>
          <w:szCs w:val="20"/>
        </w:rPr>
      </w:pPr>
      <w:r w:rsidRPr="008E1307">
        <w:rPr>
          <w:rFonts w:asciiTheme="minorHAnsi" w:hAnsiTheme="minorHAnsi"/>
          <w:sz w:val="20"/>
          <w:szCs w:val="20"/>
        </w:rPr>
        <w:t>Table 2. HLM Model</w:t>
      </w:r>
    </w:p>
    <w:p w14:paraId="7443116E" w14:textId="316457CE" w:rsidR="00EC220E" w:rsidRPr="008E1307" w:rsidRDefault="00226933" w:rsidP="00851693">
      <w:pPr>
        <w:pStyle w:val="BodyText"/>
        <w:rPr>
          <w:rFonts w:asciiTheme="minorHAnsi" w:hAnsiTheme="minorHAnsi"/>
        </w:rPr>
      </w:pPr>
      <w:r w:rsidRPr="008E1307">
        <w:rPr>
          <w:rFonts w:asciiTheme="minorHAnsi" w:hAnsiTheme="minorHAnsi"/>
        </w:rPr>
        <w:t xml:space="preserve">Based on the high ICC, </w:t>
      </w:r>
      <w:r w:rsidR="00A44DC5" w:rsidRPr="008E1307">
        <w:rPr>
          <w:rFonts w:asciiTheme="minorHAnsi" w:hAnsiTheme="minorHAnsi"/>
        </w:rPr>
        <w:t xml:space="preserve">a considerable portion of the variation in the data can be attributed to the level of severity, </w:t>
      </w:r>
      <w:r w:rsidR="00EC220E" w:rsidRPr="008E1307">
        <w:rPr>
          <w:rFonts w:asciiTheme="minorHAnsi" w:hAnsiTheme="minorHAnsi"/>
        </w:rPr>
        <w:t xml:space="preserve">with ER visits only accounting for less than 5% of the variation in the data. These findings are consistent with the </w:t>
      </w:r>
      <w:r w:rsidR="009449F8" w:rsidRPr="008E1307">
        <w:rPr>
          <w:rFonts w:asciiTheme="minorHAnsi" w:hAnsiTheme="minorHAnsi"/>
        </w:rPr>
        <w:t>original OLS model</w:t>
      </w:r>
      <w:r w:rsidR="00851693" w:rsidRPr="008E1307">
        <w:rPr>
          <w:rFonts w:asciiTheme="minorHAnsi" w:hAnsiTheme="minorHAnsi"/>
        </w:rPr>
        <w:t>.</w:t>
      </w:r>
    </w:p>
    <w:p w14:paraId="18C6BED5" w14:textId="78090687" w:rsidR="00952D4E" w:rsidRPr="008E1307" w:rsidRDefault="00226933" w:rsidP="00226933">
      <w:pPr>
        <w:pStyle w:val="Heading3"/>
        <w:rPr>
          <w:rFonts w:asciiTheme="minorHAnsi" w:hAnsiTheme="minorHAnsi"/>
        </w:rPr>
      </w:pPr>
      <w:bookmarkStart w:id="3" w:name="X7e28d1bc697ff1a395d2d93802b712cf0e1917b"/>
      <w:r w:rsidRPr="008E1307">
        <w:rPr>
          <w:rFonts w:asciiTheme="minorHAnsi" w:hAnsiTheme="minorHAnsi"/>
        </w:rPr>
        <w:t>Interpretation</w:t>
      </w:r>
    </w:p>
    <w:p w14:paraId="156EEDFE" w14:textId="6591352C" w:rsidR="001A4FD3" w:rsidRPr="008E1307" w:rsidRDefault="00BC3BB9" w:rsidP="00C155DE">
      <w:pPr>
        <w:pStyle w:val="BodyText"/>
        <w:rPr>
          <w:rFonts w:asciiTheme="minorHAnsi" w:hAnsiTheme="minorHAnsi"/>
        </w:rPr>
      </w:pPr>
      <w:r w:rsidRPr="008E1307">
        <w:rPr>
          <w:rFonts w:asciiTheme="minorHAnsi" w:hAnsiTheme="minorHAnsi"/>
        </w:rPr>
        <w:t xml:space="preserve">It is broadly assumed that patients that frequent the Emergency Room (particularly for non-acute conditions) are </w:t>
      </w:r>
      <w:r w:rsidR="00944822" w:rsidRPr="008E1307">
        <w:rPr>
          <w:rFonts w:asciiTheme="minorHAnsi" w:hAnsiTheme="minorHAnsi"/>
        </w:rPr>
        <w:t>significant drivers of overall health care spending</w:t>
      </w:r>
      <w:r w:rsidR="00FA3DDE">
        <w:rPr>
          <w:rFonts w:asciiTheme="minorHAnsi" w:hAnsiTheme="minorHAnsi"/>
        </w:rPr>
        <w:fldChar w:fldCharType="begin"/>
      </w:r>
      <w:r w:rsidR="00FA3DDE">
        <w:rPr>
          <w:rFonts w:asciiTheme="minorHAnsi" w:hAnsiTheme="minorHAnsi"/>
        </w:rPr>
        <w:instrText>ADDIN F1000_CSL_CITATION&lt;~#@#~&gt;[{"title":"The Uninsured Do Not Use The Emergency Department More-They Use Other Care Less.","id":"5081299","ArticleId":"732268440","page":"2115-2122","type":"article-journal","volume":"36","issue":"12","author":[{"family":"Zhou","given":"Ruohua Annetta"},{"family":"Baicker","given":"Katherine"},{"family":"Taubman","given":"Sarah"},{"family":"Finkelstein","given":"Amy N"}],"issued":{"date-parts":[["2017","12"]]},"container-title":"Health Affairs (Project Hope)","container-title-short":"Health Aff (Millwood)","journalAbbreviation":"Health Aff (Millwood)","DOI":"10.1377/hlthaff.2017.0218","PMID":"29200330","PMCID":"PMC5754025","citation-label":"5081299","Abstract":"There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insured.","CleanAbstract":"There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insured."},{"title":"Exploring the Value Proposition of Primary Care for Safety-Net Patients Who Utilize Emergency Departments to Address Unmet Needs.","id":"6106218","ArticleId":"727850851","page":"285-293","type":"article-journal","volume":"8","issue":"4","author":[{"family":"Enard","given":"Kimberly R"},{"family":"Ganelin","given":"Deborah M"}],"issued":{"date-parts":[["2017","10"]]},"container-title":"Journal of primary care &amp; community health","container-title-short":"J. Prim. Care Community Health","journalAbbreviation":"J. Prim. Care Community Health","DOI":"10.1177/2150131917721652","PMID":"28745137","PMCID":"PMC5739963","citation-label":"6106218","Abstract":"&lt;strong&gt;BACKGROUND:&lt;/strong&gt; An underlying assumption of strategies intended to promote appropriate primary care over emergency department (ED) use for ongoing health care needs is that patients will understand the \"value proposition\" of primary care: that they will receive specific benefits from primary care providers over and above what they receive from EDs. However, there is evidence that this value proposition may be unclear to safety-net patients. The goals of this study are to describe factors motivating ED use for low-acuity conditions; describe similarities and differences in usual source of care (USOC) experiences, by ED versus non-ED setting; and assess awareness and perceptions of the patient-centered medical home (PCMH) concept among safety-net patients.&lt;br&gt;&lt;br&gt;&lt;strong&gt;METHODS:&lt;/strong&gt; We conducted a cross-sectional descriptive study of adult patients (n = 329) at 3 safety-net hospitals in the Southwest.&lt;br&gt;&lt;br&gt;&lt;strong&gt;RESULTS:&lt;/strong&gt; Key reasons for ED use were perceived urgency, lack of awareness about other options for care, payment flexibility, and perceived quality and convenience. Approximately half of participants indicated they would seek treatment in non-ED settings, if available, but agreement differed by group (non-ED USOC, 60.2%; ED USOC, 50.7%; no USOC, 45.3%; P = .025). Agreement that providers coordinated access to needed medical services was significantly higher among patients with non-ED USOCs; agreement that providers coordinated non-medical services that facilitate access to care was similar (approximately 45%) for patients with ED and non-ED USOCs. Approximately 70% of participants in both groups agreed that every person should have a medical home.&lt;br&gt;&lt;br&gt;&lt;strong&gt;CONCLUSIONS:&lt;/strong&gt; Perceived experiences of care in ED and non-ED USOC settings suggest challenges and opportunities for increasing the value proposition of primary care for safety-net patients. Although patients are receptive to the PCMH concept, effective strategies to better highlight the value of primary care in coordinating both medical and related nonmedical services and other PCMH benefits warrant further investigation.","CleanAbstract":"BACKGROUND: An underlying assumption of strategies intended to promote appropriate primary care over emergency department (ED) use for ongoing health care needs is that patients will understand the \"value proposition\" of primary care: that they will receive specific benefits from primary care providers over and above what they receive from EDs. However, there is evidence that this value proposition may be unclear to safety-net patients. The goals of this study are to describe factors motivating ED use for low-acuity conditions; describe similarities and differences in usual source of care (USOC) experiences, by ED versus non-ED setting; and assess awareness and perceptions of the patient-centered medical home (PCMH) concept among safety-net patients.METHODS: We conducted a cross-sectional descriptive study of adult patients (n = 329) at 3 safety-net hospitals in the Southwest.RESULTS: Key reasons for ED use were perceived urgency, lack of awareness about other options for care, payment flexibility, and perceived quality and convenience. Approximately half of participants indicated they would seek treatment in non-ED settings, if available, but agreement differed by group (non-ED USOC, 60.2%; ED USOC, 50.7%; no USOC, 45.3%; P = .025). Agreement that providers coordinated access to needed medical services was significantly higher among patients with non-ED USOCs; agreement that providers coordinated non-medical services that facilitate access to care was similar (approximately 45%) for patients with ED and non-ED USOCs. Approximately 70% of participants in both groups agreed that every person should have a medical home.CONCLUSIONS: Perceived experiences of care in ED and non-ED USOC settings suggest challenges and opportunities for increasing the value proposition of primary care for safety-net patients. Although patients are receptive to the PCMH concept, effective strategies to better highlight the value of primary care in coordinating both medical and related nonmedical services and other PCMH benefits warrant further investigation."},{"title":"Emergency department utilization as a measure of physician performance.","id":"5996890","ArticleId":"734407219","page":"135-143","type":"article-journal","volume":"29","issue":"2","author":[{"family":"Dowd","given":"Bryan"},{"family":"Karmarker","given":"Medha"},{"family":"Swenson","given":"Tami"},{"family":"Parashuram","given":"Shriram"},{"family":"Kane","given":"Robert"},{"family":"Coulam","given":"Robert"},{"family":"Jeffery","given":"Molly Moore"}],"issued":{"date-parts":[["2014","4"]]},"container-title":"American Journal of Medical Quality","container-title-short":"Am. J. Med. Qual.","journalAbbreviation":"Am. J. Med. Qual.","DOI":"10.1177/1062860613487196","PMID":"23687240","citation-label":"5996890","Abstract":"Visits to the emergency department (ED) are costly, and because some of them are potentially avoidable, some types of ED visits also may be indicative of poor care management, inadequate access to care, or poor choices on the part of beneficiaries. Billings and colleagues developed an algorithm to analyze ED visits and assign probabilities that each visit falls into several categories of appropriateness. The algorithm has been used previously to assess the appropriateness of ED visits at the community or facility level. In this analysis, the authors explain how the Billings algorithm works and how it can be applied to individual physician practices. The authors then present illustrative data from 2 years of Medicare claims data from 5 states. About one third of ED visits are deemed appropriate, and about half could have been treated in a primary care outpatient setting. Another 15% were deemed preventable or avoidable. ","CleanAbstract":"Visits to the emergency department (ED) are costly, and because some of them are potentially avoidable, some types of ED visits also may be indicative of poor care management, inadequate access to care, or poor choices on the part of beneficiaries. Billings and colleagues developed an algorithm to analyze ED visits and assign probabilities that each visit falls into several categories of appropriateness. The algorithm has been used previously to assess the appropriateness of ED visits at the community or facility level. In this analysis, the authors explain how the Billings algorithm works and how it can be applied to individual physician practices. The authors then present illustrative data from 2 years of Medicare claims data from 5 states. About one third of ED visits are deemed appropriate, and about half could have been treated in a primary care outpatient setting. Another 15% were deemed preventable or avoidable. "},{"title":"Characteristics and predictors of adult frequent emergency department users in the United States: A systematic literature review.","id":"10318766","ArticleId":"735683242","page":"420-433","type":"article-journal","volume":"25","issue":"3","author":[{"family":"Giannouchos","given":"Theodoros V"},{"family":"Kum","given":"Hye-Chung"},{"family":"Foster","given":"Margaret J"},{"family":"Ohsfeldt","given":"Robert L"}],"issued":{"date-parts":[["2019","6"]]},"container-title":"Journal of Evaluation in Clinical Practice","container-title-short":"J. Eval. Clin. Pract.","journalAbbreviation":"J. Eval. Clin. Pract.","DOI":"10.1111/jep.13137","PMID":"31044484","citation-label":"10318766","Abstract":"&lt;strong&gt;STUDY OBJECTIVE:&lt;/strong&gt; We conducted a systematic literature review to identify and to update patient characteristics and contextual factors for adult frequent emergency department users (FEDUs) compared with non-FEDU in an era where the US health care system underwent substantial changes.&lt;br&gt;&lt;br&gt;&lt;strong&gt;METHODS:&lt;/strong&gt; We searched MEDLINE, CINAHL, and EMBASE to identify all relevant articles after 2010 through July 2018 that describe FEDU. We included US studies on adult FEDU only and excluded studies on specific subgroups of FEDU. We included demographic, clinical, and health care utilization information, and two reviewers independently evaluated the studies using the Joanna Briggs Institute Critical Appraisal tool.&lt;br&gt;&lt;br&gt;&lt;strong&gt;RESULTS:&lt;/strong&gt; The 11 studies included in the review indicated that FEDU were 4% to 16% of total ED users but accounted for 14% to 47% of ED visits, with six to nine visits per year on average. The majority of FEDU were young or middle-aged adults, females, of low socioeconomic status and high school or less education, with public insurance, multiple primary care provider visits, and chronic conditions. Fair or poor self-perceived health status, unemployment, unmet needs from primary care providers (PCPs), mental health, and substance abuse were predictors of FEDU.&lt;br&gt;&lt;br&gt;&lt;strong&gt;CONCLUSION:&lt;/strong&gt; FEDUs are disproportionally sicker and are also heavy users of non-ED health care service providers. The limited data for non-ED health services use in facility-specific studies of FEDU may contribute to findings in such studies that complex and unmet needs from PCPs contributed to ED visits. This suggests the need for more comprehensive data analysis beyond a few sites that can inform systemic management approaches.&lt;br&gt;&lt;br&gt;© 2019 John Wiley &amp; Sons, Ltd.","CleanAbstract":"STUDY OBJECTIVE: We conducted a systematic literature review to identify and to update patient characteristics and contextual factors for adult frequent emergency department users (FEDUs) compared with non-FEDU in an era where the US health care system underwent substantial changes.METHODS: We searched MEDLINE, CINAHL, and EMBASE to identify all relevant articles after 2010 through July 2018 that describe FEDU. We included US studies on adult FEDU only and excluded studies on specific subgroups of FEDU. We included demographic, clinical, and health care utilization information, and two reviewers independently evaluated the studies using the Joanna Briggs Institute Critical Appraisal tool.RESULTS: The 11 studies included in the review indicated that FEDU were 4% to 16% of total ED users but accounted for 14% to 47% of ED visits, with six to nine visits per year on average. The majority of FEDU were young or middle-aged adults, females, of low socioeconomic status and high school or less education, with public insurance, multiple primary care provider visits, and chronic conditions. Fair or poor self-perceived health status, unemployment, unmet needs from primary care providers (PCPs), mental health, and substance abuse were predictors of FEDU.CONCLUSION: FEDUs are disproportionally sicker and are also heavy users of non-ED health care service providers. The limited data for non-ED health services use in facility-specific studies of FEDU may contribute to findings in such studies that complex and unmet needs from PCPs contributed to ED visits. This suggests the need for more comprehensive data analysis beyond a few sites that can inform systemic management approaches.© 2019 John Wiley &amp; Sons, Ltd."}]</w:instrText>
      </w:r>
      <w:r w:rsidR="00FA3DDE">
        <w:rPr>
          <w:rFonts w:asciiTheme="minorHAnsi" w:hAnsiTheme="minorHAnsi"/>
        </w:rPr>
        <w:fldChar w:fldCharType="separate"/>
      </w:r>
      <w:r w:rsidR="00FA3DDE">
        <w:rPr>
          <w:rFonts w:asciiTheme="minorHAnsi" w:hAnsiTheme="minorHAnsi"/>
        </w:rPr>
        <w:t>(13–16)</w:t>
      </w:r>
      <w:r w:rsidR="00FA3DDE">
        <w:rPr>
          <w:rFonts w:asciiTheme="minorHAnsi" w:hAnsiTheme="minorHAnsi"/>
        </w:rPr>
        <w:fldChar w:fldCharType="end"/>
      </w:r>
      <w:r w:rsidR="00944822" w:rsidRPr="008E1307">
        <w:rPr>
          <w:rFonts w:asciiTheme="minorHAnsi" w:hAnsiTheme="minorHAnsi"/>
        </w:rPr>
        <w:t xml:space="preserve">. </w:t>
      </w:r>
      <w:r w:rsidR="007B1719" w:rsidRPr="008E1307">
        <w:rPr>
          <w:rFonts w:asciiTheme="minorHAnsi" w:hAnsiTheme="minorHAnsi"/>
        </w:rPr>
        <w:t>The passage of the Emergency Medic</w:t>
      </w:r>
      <w:r w:rsidR="00AB0FCE" w:rsidRPr="008E1307">
        <w:rPr>
          <w:rFonts w:asciiTheme="minorHAnsi" w:hAnsiTheme="minorHAnsi"/>
        </w:rPr>
        <w:t xml:space="preserve">al Treatment and Labor Act of </w:t>
      </w:r>
      <w:r w:rsidR="00AE3E3D" w:rsidRPr="008E1307">
        <w:rPr>
          <w:rFonts w:asciiTheme="minorHAnsi" w:hAnsiTheme="minorHAnsi"/>
        </w:rPr>
        <w:t>1986 mandated that emergency services be provided regardless of the ability for patients to pay</w:t>
      </w:r>
      <w:r w:rsidR="000176CB">
        <w:rPr>
          <w:rFonts w:asciiTheme="minorHAnsi" w:hAnsiTheme="minorHAnsi"/>
        </w:rPr>
        <w:fldChar w:fldCharType="begin"/>
      </w:r>
      <w:r w:rsidR="000176CB">
        <w:rPr>
          <w:rFonts w:asciiTheme="minorHAnsi" w:hAnsiTheme="minorHAnsi"/>
        </w:rPr>
        <w:instrText>ADDIN F1000_CSL_CITATION&lt;~#@#~&gt;[{"title":"Emergency Medical Treatment &amp; Labor Act (EMTALA) | CMS","id":"11549597","type":"webpage","issued":{},"URL":"https://www.cms.gov/Regulations-and-Guidance/Legislation/EMTALA","accessed":{"date-parts":[["2021","8","16"]]},"citation-label":"11549597","CleanAbstract":"No abstract available"}]</w:instrText>
      </w:r>
      <w:r w:rsidR="000176CB">
        <w:rPr>
          <w:rFonts w:asciiTheme="minorHAnsi" w:hAnsiTheme="minorHAnsi"/>
        </w:rPr>
        <w:fldChar w:fldCharType="separate"/>
      </w:r>
      <w:r w:rsidR="000176CB">
        <w:rPr>
          <w:rFonts w:asciiTheme="minorHAnsi" w:hAnsiTheme="minorHAnsi"/>
        </w:rPr>
        <w:t>(17)</w:t>
      </w:r>
      <w:r w:rsidR="000176CB">
        <w:rPr>
          <w:rFonts w:asciiTheme="minorHAnsi" w:hAnsiTheme="minorHAnsi"/>
        </w:rPr>
        <w:fldChar w:fldCharType="end"/>
      </w:r>
      <w:r w:rsidR="00AE3E3D" w:rsidRPr="008E1307">
        <w:rPr>
          <w:rFonts w:asciiTheme="minorHAnsi" w:hAnsiTheme="minorHAnsi"/>
        </w:rPr>
        <w:t>. This had led to the belief that individuals may choose to utilize the ER for non-emergent health needs</w:t>
      </w:r>
      <w:r w:rsidR="007B1719" w:rsidRPr="008E1307">
        <w:rPr>
          <w:rFonts w:asciiTheme="minorHAnsi" w:hAnsiTheme="minorHAnsi"/>
        </w:rPr>
        <w:t xml:space="preserve"> </w:t>
      </w:r>
      <w:r w:rsidR="00AE3E3D" w:rsidRPr="008E1307">
        <w:rPr>
          <w:rFonts w:asciiTheme="minorHAnsi" w:hAnsiTheme="minorHAnsi"/>
        </w:rPr>
        <w:t>out of a concern for cost-sharing</w:t>
      </w:r>
      <w:r w:rsidR="000176CB">
        <w:rPr>
          <w:rFonts w:asciiTheme="minorHAnsi" w:hAnsiTheme="minorHAnsi"/>
        </w:rPr>
        <w:fldChar w:fldCharType="begin"/>
      </w:r>
      <w:r w:rsidR="000176CB">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reserved."},{"title":"The effectiveness of emergency department visit reduction programs: A systematic review.","id":"1788114","ArticleId":"726416625","page":"467-483.e15","type":"article-journal","volume":"68","issue":"4","author":[{"family":"Raven","given":"Maria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Med.","DOI":"10.1016/j.annemergmed.2016.04.015","PMID":"27287549","citation-label":"1788114","Abstract":"&lt;strong&gt;STUDY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reserved."},{"title":"Effectiveness of interventions to decrease emergency department visits by adult frequent users: A systematic review.","id":"4340715","ArticleId":"726592944","page":"40-52","type":"article-journal","volume":"24","issue":"1","author":[{"family":"Moe","given":"Jessica"},{"family":"Kirkland","given":"Scott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Med.","DOI":"10.1111/acem.13060","PMID":"27473387","citation-label":"4340715","Abstract":"&lt;strong&gt;OBJECTIVES:&lt;/strong&gt;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w:instrText>
      </w:r>
      <w:r w:rsidR="000176CB">
        <w:rPr>
          <w:rFonts w:asciiTheme="minorHAnsi" w:hAnsiTheme="minorHAnsi"/>
        </w:rPr>
        <w:fldChar w:fldCharType="separate"/>
      </w:r>
      <w:r w:rsidR="000176CB">
        <w:rPr>
          <w:rFonts w:asciiTheme="minorHAnsi" w:hAnsiTheme="minorHAnsi"/>
        </w:rPr>
        <w:t>(2–4)</w:t>
      </w:r>
      <w:r w:rsidR="000176CB">
        <w:rPr>
          <w:rFonts w:asciiTheme="minorHAnsi" w:hAnsiTheme="minorHAnsi"/>
        </w:rPr>
        <w:fldChar w:fldCharType="end"/>
      </w:r>
      <w:r w:rsidR="00AE3E3D" w:rsidRPr="008E1307">
        <w:rPr>
          <w:rFonts w:asciiTheme="minorHAnsi" w:hAnsiTheme="minorHAnsi"/>
        </w:rPr>
        <w:t xml:space="preserve">. </w:t>
      </w:r>
      <w:r w:rsidR="007B1719" w:rsidRPr="008E1307">
        <w:rPr>
          <w:rFonts w:asciiTheme="minorHAnsi" w:hAnsiTheme="minorHAnsi"/>
        </w:rPr>
        <w:t>H</w:t>
      </w:r>
      <w:r w:rsidR="00944822" w:rsidRPr="008E1307">
        <w:rPr>
          <w:rFonts w:asciiTheme="minorHAnsi" w:hAnsiTheme="minorHAnsi"/>
        </w:rPr>
        <w:t xml:space="preserve">ealth systems, local governments, and </w:t>
      </w:r>
      <w:r w:rsidR="006E3F91" w:rsidRPr="008E1307">
        <w:rPr>
          <w:rFonts w:asciiTheme="minorHAnsi" w:hAnsiTheme="minorHAnsi"/>
        </w:rPr>
        <w:t xml:space="preserve">insurance companies </w:t>
      </w:r>
      <w:r w:rsidR="007B1719" w:rsidRPr="008E1307">
        <w:rPr>
          <w:rFonts w:asciiTheme="minorHAnsi" w:hAnsiTheme="minorHAnsi"/>
        </w:rPr>
        <w:t>have</w:t>
      </w:r>
      <w:r w:rsidR="006E3F91" w:rsidRPr="008E1307">
        <w:rPr>
          <w:rFonts w:asciiTheme="minorHAnsi" w:hAnsiTheme="minorHAnsi"/>
        </w:rPr>
        <w:t xml:space="preserve"> </w:t>
      </w:r>
      <w:r w:rsidR="007B1719" w:rsidRPr="008E1307">
        <w:rPr>
          <w:rFonts w:asciiTheme="minorHAnsi" w:hAnsiTheme="minorHAnsi"/>
        </w:rPr>
        <w:t xml:space="preserve">recently </w:t>
      </w:r>
      <w:r w:rsidR="006E3F91" w:rsidRPr="008E1307">
        <w:rPr>
          <w:rFonts w:asciiTheme="minorHAnsi" w:hAnsiTheme="minorHAnsi"/>
        </w:rPr>
        <w:t>develop</w:t>
      </w:r>
      <w:r w:rsidR="007B1719" w:rsidRPr="008E1307">
        <w:rPr>
          <w:rFonts w:asciiTheme="minorHAnsi" w:hAnsiTheme="minorHAnsi"/>
        </w:rPr>
        <w:t>ed</w:t>
      </w:r>
      <w:r w:rsidR="006E3F91" w:rsidRPr="008E1307">
        <w:rPr>
          <w:rFonts w:asciiTheme="minorHAnsi" w:hAnsiTheme="minorHAnsi"/>
        </w:rPr>
        <w:t xml:space="preserve"> </w:t>
      </w:r>
      <w:r w:rsidR="00AE3E3D" w:rsidRPr="008E1307">
        <w:rPr>
          <w:rFonts w:asciiTheme="minorHAnsi" w:hAnsiTheme="minorHAnsi"/>
        </w:rPr>
        <w:t>ER</w:t>
      </w:r>
      <w:r w:rsidR="006E3F91" w:rsidRPr="008E1307">
        <w:rPr>
          <w:rFonts w:asciiTheme="minorHAnsi" w:hAnsiTheme="minorHAnsi"/>
        </w:rPr>
        <w:t xml:space="preserve"> diversion programs</w:t>
      </w:r>
      <w:r w:rsidR="006051C2" w:rsidRPr="008E1307">
        <w:rPr>
          <w:rFonts w:asciiTheme="minorHAnsi" w:hAnsiTheme="minorHAnsi"/>
        </w:rPr>
        <w:t xml:space="preserve"> designed to redirect these patients to lower cost sources of care (primary care or urgent care)</w:t>
      </w:r>
      <w:r w:rsidR="000176CB">
        <w:rPr>
          <w:rFonts w:asciiTheme="minorHAnsi" w:hAnsiTheme="minorHAnsi"/>
        </w:rPr>
        <w:fldChar w:fldCharType="begin"/>
      </w:r>
      <w:r w:rsidR="000176CB">
        <w:rPr>
          <w:rFonts w:asciiTheme="minorHAnsi" w:hAnsiTheme="minorHAnsi"/>
        </w:rPr>
        <w:instrText>ADDIN F1000_CSL_CITATION&lt;~#@#~&gt;[{"title":"Health Care Hotspotting - A Randomized, Controlled Trial.","id":"8199439","ArticleId":"737175900","page":"152-162","type":"article-journal","volume":"382","issue":"2","author":[{"family":"Finkelstein","given":"Amy"},{"family":"Zhou","given":"Annetta"},{"family":"Taubman","given":"Sarah"},{"family":"Doyle","given":"Joseph"}],"issued":{"date-parts":[["2020","1","9"]]},"container-title":"The New England Journal of Medicine","container-title-short":"N. Engl. J. Med.","journalAbbreviation":"N. Engl. J. Med.","DOI":"10.1056/NEJMsa1906848","PMID":"31914242","PMCID":"PMC7046127","citation-label":"8199439","Abstract":"&lt;strong&gt;BACKGROUND:&lt;/strong&gt; There is widespread interest in programs aiming to reduce spending and improve health care quality among \"superutilizers,\" patients with very high use of health care services. The \"hotspotting\" program created by the Camden Coalition of Healthcare Providers (hereafter, the Coalition) has received national attention as a promising superutilizer intervention and has been expanded to cities around the country. In the months after hospital discharge, a team of nurses, social workers, and community health workers visits enrolled patients to coordinate outpatient care and link them with social services.&lt;br&gt;&lt;br&gt;&lt;strong&gt;METHODS:&lt;/strong&gt; We randomly assigned 800 hospitalized patients with medically and socially complex conditions, all with at least one additional hospitalization in the preceding 6 months, to the Coalition's care-transition program or to usual care. The primary outcome was hospital readmission within 180 days after discharge.&lt;br&gt;&lt;br&gt;&lt;strong&gt;RESULTS:&lt;/strong&gt; The 180-day readmission rate was 62.3% in the intervention group and 61.7% in the control group. The adjusted between-group difference was not significant (0.82 percentage points; 95% confidence interval, -5.97 to 7.61). In contrast, a comparison of the intervention-group admissions during the 6 months before and after enrollment misleadingly suggested a 38-percentage-point decline in admissions related to the intervention because the comparison did not account for the similar decline in the control group.&lt;br&gt;&lt;br&gt;&lt;strong&gt;CONCLUSIONS:&lt;/strong&gt; In this randomized, controlled trial involving patients with very high use of health care services, readmission rates were not lower among patients randomly assigned to the Coalition's program than among those who received usual care. (Funded by the National Institute on Aging and others; ClinicalTrials.gov number, NCT02090426; American Economic Association registry number, AEARCTR-0000329.).&lt;br&gt;&lt;br&gt;Copyright © 2020 Massachusetts Medical Society.","CleanAbstract":"BACKGROUND: There is widespread interest in programs aiming to reduce spending and improve health care quality among \"superutilizers,\" patients with very high use of health care services. The \"hotspotting\" program created by the Camden Coalition of Healthcare Providers (hereafter, the Coalition) has received national attention as a promising superutilizer intervention and has been expanded to cities around the country. In the months after hospital discharge, a team of nurses, social workers, and community health workers visits enrolled patients to coordinate outpatient care and link them with social services.METHODS: We randomly assigned 800 hospitalized patients with medically and socially complex conditions, all with at least one additional hospitalization in the preceding 6 months, to the Coalition's care-transition program or to usual care. The primary outcome was hospital readmission within 180 days after discharge.RESULTS: The 180-day readmission rate was 62.3% in the intervention group and 61.7% in the control group. The adjusted between-group difference was not significant (0.82 percentage points; 95% confidence interval, -5.97 to 7.61). In contrast, a comparison of the intervention-group admissions during the 6 months before and after enrollment misleadingly suggested a 38-percentage-point decline in admissions related to the intervention because the comparison did not account for the similar decline in the control group.CONCLUSIONS: In this randomized, controlled trial involving patients with very high use of health care services, readmission rates were not lower among patients randomly assigned to the Coalition's program than among those who received usual care. (Funded by the National Institute on Aging and others; ClinicalTrials.gov number, NCT02090426; American Economic Association registry number, AEARCTR-0000329.).Copyright © 2020 Massachusetts Medical Society."},{"title":"The Uninsured Do Not Use The Emergency Department More-They Use Other Care Less.","id":"5081299","ArticleId":"732268440","page":"2115-2122","type":"article-journal","volume":"36","issue":"12","author":[{"family":"Zhou","given":"Ruohua Annetta"},{"family":"Baicker","given":"Katherine"},{"family":"Taubman","given":"Sarah"},{"family":"Finkelstein","given":"Amy N"}],"issued":{"date-parts":[["2017","12"]]},"container-title":"Health Affairs (Project Hope)","container-title-short":"Health Aff (Millwood)","journalAbbreviation":"Health Aff (Millwood)","DOI":"10.1377/hlthaff.2017.0218","PMID":"29200330","PMCID":"PMC5754025","citation-label":"5081299","Abstract":"There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insured.","CleanAbstract":"There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0176CB">
        <w:rPr>
          <w:rFonts w:asciiTheme="minorHAnsi" w:hAnsiTheme="minorHAnsi"/>
        </w:rPr>
        <w:fldChar w:fldCharType="separate"/>
      </w:r>
      <w:r w:rsidR="000176CB">
        <w:rPr>
          <w:rFonts w:asciiTheme="minorHAnsi" w:hAnsiTheme="minorHAnsi"/>
        </w:rPr>
        <w:t>(9,13,18)</w:t>
      </w:r>
      <w:r w:rsidR="000176CB">
        <w:rPr>
          <w:rFonts w:asciiTheme="minorHAnsi" w:hAnsiTheme="minorHAnsi"/>
        </w:rPr>
        <w:fldChar w:fldCharType="end"/>
      </w:r>
      <w:r w:rsidR="006051C2" w:rsidRPr="008E1307">
        <w:rPr>
          <w:rFonts w:asciiTheme="minorHAnsi" w:hAnsiTheme="minorHAnsi"/>
        </w:rPr>
        <w:t xml:space="preserve">. </w:t>
      </w:r>
    </w:p>
    <w:p w14:paraId="549D9400" w14:textId="63B321C0" w:rsidR="00944822" w:rsidRPr="008E1307" w:rsidRDefault="001A4FD3" w:rsidP="00C155DE">
      <w:pPr>
        <w:pStyle w:val="BodyText"/>
        <w:rPr>
          <w:rFonts w:asciiTheme="minorHAnsi" w:hAnsiTheme="minorHAnsi"/>
        </w:rPr>
      </w:pPr>
      <w:r w:rsidRPr="008E1307">
        <w:rPr>
          <w:rFonts w:asciiTheme="minorHAnsi" w:hAnsiTheme="minorHAnsi"/>
        </w:rPr>
        <w:t>As</w:t>
      </w:r>
      <w:r w:rsidR="006051C2" w:rsidRPr="008E1307">
        <w:rPr>
          <w:rFonts w:asciiTheme="minorHAnsi" w:hAnsiTheme="minorHAnsi"/>
        </w:rPr>
        <w:t xml:space="preserve"> these programs</w:t>
      </w:r>
      <w:r w:rsidR="00517E18" w:rsidRPr="008E1307">
        <w:rPr>
          <w:rFonts w:asciiTheme="minorHAnsi" w:hAnsiTheme="minorHAnsi"/>
        </w:rPr>
        <w:t xml:space="preserve"> have become </w:t>
      </w:r>
      <w:r w:rsidRPr="008E1307">
        <w:rPr>
          <w:rFonts w:asciiTheme="minorHAnsi" w:hAnsiTheme="minorHAnsi"/>
        </w:rPr>
        <w:t xml:space="preserve">more </w:t>
      </w:r>
      <w:r w:rsidR="00517E18" w:rsidRPr="008E1307">
        <w:rPr>
          <w:rFonts w:asciiTheme="minorHAnsi" w:hAnsiTheme="minorHAnsi"/>
        </w:rPr>
        <w:t>popular, recent evidence has shown that these types of programs</w:t>
      </w:r>
      <w:r w:rsidR="000B58F5" w:rsidRPr="008E1307">
        <w:rPr>
          <w:rFonts w:asciiTheme="minorHAnsi" w:hAnsiTheme="minorHAnsi"/>
        </w:rPr>
        <w:t xml:space="preserve"> often</w:t>
      </w:r>
      <w:r w:rsidR="00517E18" w:rsidRPr="008E1307">
        <w:rPr>
          <w:rFonts w:asciiTheme="minorHAnsi" w:hAnsiTheme="minorHAnsi"/>
        </w:rPr>
        <w:t xml:space="preserve"> have little benefit</w:t>
      </w:r>
      <w:r w:rsidR="000176CB">
        <w:rPr>
          <w:rFonts w:asciiTheme="minorHAnsi" w:hAnsiTheme="minorHAnsi"/>
        </w:rPr>
        <w:fldChar w:fldCharType="begin"/>
      </w:r>
      <w:r w:rsidR="000176CB">
        <w:rPr>
          <w:rFonts w:asciiTheme="minorHAnsi" w:hAnsiTheme="minorHAnsi"/>
        </w:rPr>
        <w:instrText>ADDIN F1000_CSL_CITATION&lt;~#@#~&gt;[{"title":"The terminology of social emergency medicine: Measuring social determinants of health, social risk, and social need.","id":"10076872","ArticleId":"738983791","page":"852-856","type":"article-journal","volume":"1","issue":"5","author":[{"family":"Samuels-Kalow","given":"Margaret E"},{"family":"Ciccolo","given":"Gia E"},{"family":"Lin","given":"Michelle P"},{"family":"Schoenfeld","given":"Elizabeth M"},{"family":"Camargo","given":"Carlos A"}],"issued":{"date-parts":[["2020","10"]]},"container-title":"Journal of the American College of Emergency Physicians Open","container-title-short":"Journal of the American College of Emergency Physicians Open","journalAbbreviation":"Journal of the American College of Emergency Physicians Open","DOI":"10.1002/emp2.12191","PMID":"33145531","PMCID":"PMC7593464","citation-label":"10076872","Abstract":"Emergency medicine has increasingly focused on addressing social determinants of health (SDoH) in emergency medicine. However, efforts to standardize and evaluate measurement tools and compare results across studies have been limited by the plethora of terms (eg, SDoH, health-related social needs, social risk) and a lack of consensus regarding definitions. Specifically, the social risks of an individual may not align with the social needs of an individual, and this has ramifications for policy, research, risk stratification, and payment and for the measurement of health care quality. With the rise of social emergency medicine (SEM) as a field, there is a need for a simplified and consistent set of definitions. These definitions are important for clinicians screening in the emergency department, for health systems to understand service needs, for epidemiological tracking, and for research data sharing and harmonization. In this article, we propose a conceptual model for considering SDoH measurement and provide clear, actionable, definitions of key terms to increase consistency among clinicians, researchers, and policy makers.&lt;br&gt;&lt;br&gt;© 2020 The Authors. JACEP Open published by Wiley Periodicals LLC on behalf of the American College of Emergency Physicians.","CleanAbstract":"Emergency medicine has increasingly focused on addressing social determinants of health (SDoH) in emergency medicine. However, efforts to standardize and evaluate measurement tools and compare results across studies have been limited by the plethora of terms (eg, SDoH, health-related social needs, social risk) and a lack of consensus regarding definitions. Specifically, the social risks of an individual may not align with the social needs of an individual, and this has ramifications for policy, research, risk stratification, and payment and for the measurement of health care quality. With the rise of social emergency medicine (SEM) as a field, there is a need for a simplified and consistent set of definitions. These definitions are important for clinicians screening in the emergency department, for health systems to understand service needs, for epidemiological tracking, and for research data sharing and harmonization. In this article, we propose a conceptual model for considering SDoH measurement and provide clear, actionable, definitions of key terms to increase consistency among clinicians, researchers, and policy makers.© 2020 The Authors. JACEP Open published by Wiley Periodicals LLC on behalf of the American College of Emergency Physicians."},{"title":"Approaches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0176CB">
        <w:rPr>
          <w:rFonts w:asciiTheme="minorHAnsi" w:hAnsiTheme="minorHAnsi"/>
        </w:rPr>
        <w:fldChar w:fldCharType="separate"/>
      </w:r>
      <w:r w:rsidR="000176CB">
        <w:rPr>
          <w:rFonts w:asciiTheme="minorHAnsi" w:hAnsiTheme="minorHAnsi"/>
        </w:rPr>
        <w:t>(9,19)</w:t>
      </w:r>
      <w:r w:rsidR="000176CB">
        <w:rPr>
          <w:rFonts w:asciiTheme="minorHAnsi" w:hAnsiTheme="minorHAnsi"/>
        </w:rPr>
        <w:fldChar w:fldCharType="end"/>
      </w:r>
      <w:r w:rsidR="000B58F5" w:rsidRPr="008E1307">
        <w:rPr>
          <w:rFonts w:asciiTheme="minorHAnsi" w:hAnsiTheme="minorHAnsi"/>
        </w:rPr>
        <w:t>.</w:t>
      </w:r>
      <w:r w:rsidR="0076197A" w:rsidRPr="008E1307">
        <w:rPr>
          <w:rFonts w:asciiTheme="minorHAnsi" w:hAnsiTheme="minorHAnsi"/>
        </w:rPr>
        <w:t xml:space="preserve"> </w:t>
      </w:r>
      <w:r w:rsidRPr="008E1307">
        <w:rPr>
          <w:rFonts w:asciiTheme="minorHAnsi" w:hAnsiTheme="minorHAnsi"/>
        </w:rPr>
        <w:t>While addressing social determinants through health care delivery is a difficult task, the underlying issue may be related to the assumptions around frequent ER visits</w:t>
      </w:r>
      <w:r w:rsidR="00F23F00" w:rsidRPr="008E1307">
        <w:rPr>
          <w:rFonts w:asciiTheme="minorHAnsi" w:hAnsiTheme="minorHAnsi"/>
        </w:rPr>
        <w:t xml:space="preserve"> and high-cost patients</w:t>
      </w:r>
      <w:r w:rsidR="000176CB">
        <w:rPr>
          <w:rFonts w:asciiTheme="minorHAnsi" w:hAnsiTheme="minorHAnsi"/>
        </w:rPr>
        <w:fldChar w:fldCharType="begin"/>
      </w:r>
      <w:r w:rsidR="000176CB">
        <w:rPr>
          <w:rFonts w:asciiTheme="minorHAnsi" w:hAnsiTheme="minorHAnsi"/>
        </w:rPr>
        <w:instrText>ADDIN F1000_CSL_CITATION&lt;~#@#~&gt;[{"title":"Interventions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0176CB">
        <w:rPr>
          <w:rFonts w:asciiTheme="minorHAnsi" w:hAnsiTheme="minorHAnsi"/>
        </w:rPr>
        <w:fldChar w:fldCharType="separate"/>
      </w:r>
      <w:r w:rsidR="000176CB">
        <w:rPr>
          <w:rFonts w:asciiTheme="minorHAnsi" w:hAnsiTheme="minorHAnsi"/>
        </w:rPr>
        <w:t>(7)</w:t>
      </w:r>
      <w:r w:rsidR="000176CB">
        <w:rPr>
          <w:rFonts w:asciiTheme="minorHAnsi" w:hAnsiTheme="minorHAnsi"/>
        </w:rPr>
        <w:fldChar w:fldCharType="end"/>
      </w:r>
      <w:r w:rsidRPr="008E1307">
        <w:rPr>
          <w:rFonts w:asciiTheme="minorHAnsi" w:hAnsiTheme="minorHAnsi"/>
        </w:rPr>
        <w:t xml:space="preserve">. </w:t>
      </w:r>
      <w:r w:rsidR="00F23F00" w:rsidRPr="008E1307">
        <w:rPr>
          <w:rFonts w:asciiTheme="minorHAnsi" w:hAnsiTheme="minorHAnsi"/>
        </w:rPr>
        <w:t xml:space="preserve">Research with this population has indicated that </w:t>
      </w:r>
      <w:r w:rsidR="005C7D4C" w:rsidRPr="008E1307">
        <w:rPr>
          <w:rFonts w:asciiTheme="minorHAnsi" w:hAnsiTheme="minorHAnsi"/>
        </w:rPr>
        <w:t xml:space="preserve">utilizing the ER for non-acute needs is a not a primary driver of avoidable costs, but rather the exacerbation of chronic conditions that are not addressed </w:t>
      </w:r>
      <w:r w:rsidR="005C7D4C" w:rsidRPr="008E1307">
        <w:rPr>
          <w:rFonts w:asciiTheme="minorHAnsi" w:hAnsiTheme="minorHAnsi"/>
        </w:rPr>
        <w:lastRenderedPageBreak/>
        <w:t>in primary care (particularly due to social determinants)</w:t>
      </w:r>
      <w:r w:rsidR="000176CB">
        <w:rPr>
          <w:rFonts w:asciiTheme="minorHAnsi" w:hAnsiTheme="minorHAnsi"/>
        </w:rPr>
        <w:fldChar w:fldCharType="begin"/>
      </w:r>
      <w:r w:rsidR="000176CB">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w:instrText>
      </w:r>
      <w:r w:rsidR="000176CB">
        <w:rPr>
          <w:rFonts w:asciiTheme="minorHAnsi" w:hAnsiTheme="minorHAnsi"/>
        </w:rPr>
        <w:fldChar w:fldCharType="separate"/>
      </w:r>
      <w:r w:rsidR="000176CB">
        <w:rPr>
          <w:rFonts w:asciiTheme="minorHAnsi" w:hAnsiTheme="minorHAnsi"/>
        </w:rPr>
        <w:t>(3)</w:t>
      </w:r>
      <w:r w:rsidR="000176CB">
        <w:rPr>
          <w:rFonts w:asciiTheme="minorHAnsi" w:hAnsiTheme="minorHAnsi"/>
        </w:rPr>
        <w:fldChar w:fldCharType="end"/>
      </w:r>
      <w:r w:rsidR="005C7D4C" w:rsidRPr="008E1307">
        <w:rPr>
          <w:rFonts w:asciiTheme="minorHAnsi" w:hAnsiTheme="minorHAnsi"/>
        </w:rPr>
        <w:t xml:space="preserve">. </w:t>
      </w:r>
      <w:r w:rsidR="007C610C" w:rsidRPr="008E1307">
        <w:rPr>
          <w:rFonts w:asciiTheme="minorHAnsi" w:hAnsiTheme="minorHAnsi"/>
        </w:rPr>
        <w:t xml:space="preserve">The number of visits are not necessary the primary issue, but instead the severity of illness </w:t>
      </w:r>
      <w:r w:rsidR="00473FFE" w:rsidRPr="008E1307">
        <w:rPr>
          <w:rFonts w:asciiTheme="minorHAnsi" w:hAnsiTheme="minorHAnsi"/>
        </w:rPr>
        <w:t>that requires emergency care</w:t>
      </w:r>
      <w:r w:rsidR="000176CB">
        <w:rPr>
          <w:rFonts w:asciiTheme="minorHAnsi" w:hAnsiTheme="minorHAnsi"/>
        </w:rPr>
        <w:fldChar w:fldCharType="begin"/>
      </w:r>
      <w:r w:rsidR="000176CB">
        <w:rPr>
          <w:rFonts w:asciiTheme="minorHAnsi" w:hAnsiTheme="minorHAnsi"/>
        </w:rPr>
        <w:instrText>ADDIN F1000_CSL_CITATION&lt;~#@#~&gt;[{"title":"Interventions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0176CB">
        <w:rPr>
          <w:rFonts w:asciiTheme="minorHAnsi" w:hAnsiTheme="minorHAnsi"/>
        </w:rPr>
        <w:fldChar w:fldCharType="separate"/>
      </w:r>
      <w:r w:rsidR="000176CB">
        <w:rPr>
          <w:rFonts w:asciiTheme="minorHAnsi" w:hAnsiTheme="minorHAnsi"/>
        </w:rPr>
        <w:t>(7)</w:t>
      </w:r>
      <w:r w:rsidR="000176CB">
        <w:rPr>
          <w:rFonts w:asciiTheme="minorHAnsi" w:hAnsiTheme="minorHAnsi"/>
        </w:rPr>
        <w:fldChar w:fldCharType="end"/>
      </w:r>
      <w:r w:rsidR="00473FFE" w:rsidRPr="008E1307">
        <w:rPr>
          <w:rFonts w:asciiTheme="minorHAnsi" w:hAnsiTheme="minorHAnsi"/>
        </w:rPr>
        <w:t xml:space="preserve">. </w:t>
      </w:r>
    </w:p>
    <w:p w14:paraId="0C74EB77" w14:textId="2B042E46" w:rsidR="00944822" w:rsidRPr="008E1307" w:rsidRDefault="000B58F5" w:rsidP="00C155DE">
      <w:pPr>
        <w:pStyle w:val="BodyText"/>
        <w:rPr>
          <w:rFonts w:asciiTheme="minorHAnsi" w:hAnsiTheme="minorHAnsi"/>
        </w:rPr>
      </w:pPr>
      <w:r w:rsidRPr="008E1307">
        <w:rPr>
          <w:rFonts w:asciiTheme="minorHAnsi" w:hAnsiTheme="minorHAnsi"/>
        </w:rPr>
        <w:t xml:space="preserve">In this population, </w:t>
      </w:r>
      <w:r w:rsidR="0076197A" w:rsidRPr="008E1307">
        <w:rPr>
          <w:rFonts w:asciiTheme="minorHAnsi" w:hAnsiTheme="minorHAnsi"/>
        </w:rPr>
        <w:t xml:space="preserve">a similar pattern can be </w:t>
      </w:r>
      <w:r w:rsidRPr="008E1307">
        <w:rPr>
          <w:rFonts w:asciiTheme="minorHAnsi" w:hAnsiTheme="minorHAnsi"/>
        </w:rPr>
        <w:t xml:space="preserve">the </w:t>
      </w:r>
      <w:r w:rsidR="00473FFE" w:rsidRPr="008E1307">
        <w:rPr>
          <w:rFonts w:asciiTheme="minorHAnsi" w:hAnsiTheme="minorHAnsi"/>
        </w:rPr>
        <w:t xml:space="preserve">observed as the </w:t>
      </w:r>
      <w:r w:rsidRPr="008E1307">
        <w:rPr>
          <w:rFonts w:asciiTheme="minorHAnsi" w:hAnsiTheme="minorHAnsi"/>
        </w:rPr>
        <w:t xml:space="preserve">number of ER visits </w:t>
      </w:r>
      <w:r w:rsidR="00473FFE" w:rsidRPr="008E1307">
        <w:rPr>
          <w:rFonts w:asciiTheme="minorHAnsi" w:hAnsiTheme="minorHAnsi"/>
        </w:rPr>
        <w:t xml:space="preserve">accounts for a small portion of the variation within the data. </w:t>
      </w:r>
      <w:r w:rsidR="00154424" w:rsidRPr="008E1307">
        <w:rPr>
          <w:rFonts w:asciiTheme="minorHAnsi" w:hAnsiTheme="minorHAnsi"/>
        </w:rPr>
        <w:t>The initial strong negative association is much smaller in magnitude when accounting for severity level, indicating that the effect of ER visit count is minor</w:t>
      </w:r>
      <w:r w:rsidR="001E4BE9" w:rsidRPr="008E1307">
        <w:rPr>
          <w:rFonts w:asciiTheme="minorHAnsi" w:hAnsiTheme="minorHAnsi"/>
        </w:rPr>
        <w:t xml:space="preserve"> when compared to another known predictor. </w:t>
      </w:r>
    </w:p>
    <w:p w14:paraId="0D4C6B32" w14:textId="64E8118B" w:rsidR="00851693" w:rsidRPr="008E1307" w:rsidRDefault="001E4BE9" w:rsidP="00851693">
      <w:pPr>
        <w:pStyle w:val="BodyText"/>
        <w:rPr>
          <w:rFonts w:asciiTheme="minorHAnsi" w:hAnsiTheme="minorHAnsi"/>
        </w:rPr>
      </w:pPr>
      <w:r w:rsidRPr="008E1307">
        <w:rPr>
          <w:rFonts w:asciiTheme="minorHAnsi" w:hAnsiTheme="minorHAnsi"/>
        </w:rPr>
        <w:t>An appropriate interpretation of the data would state</w:t>
      </w:r>
      <w:r w:rsidR="00A030AF" w:rsidRPr="008E1307">
        <w:rPr>
          <w:rFonts w:asciiTheme="minorHAnsi" w:hAnsiTheme="minorHAnsi"/>
        </w:rPr>
        <w:t xml:space="preserve"> that</w:t>
      </w:r>
      <w:r w:rsidR="00851693" w:rsidRPr="008E1307">
        <w:rPr>
          <w:rFonts w:asciiTheme="minorHAnsi" w:hAnsiTheme="minorHAnsi"/>
        </w:rPr>
        <w:t xml:space="preserve"> patients </w:t>
      </w:r>
      <w:r w:rsidR="00A030AF" w:rsidRPr="008E1307">
        <w:rPr>
          <w:rFonts w:asciiTheme="minorHAnsi" w:hAnsiTheme="minorHAnsi"/>
        </w:rPr>
        <w:t xml:space="preserve">within this population </w:t>
      </w:r>
      <w:r w:rsidR="00851693" w:rsidRPr="008E1307">
        <w:rPr>
          <w:rFonts w:asciiTheme="minorHAnsi" w:hAnsiTheme="minorHAnsi"/>
        </w:rPr>
        <w:t xml:space="preserve">experiencing high severity </w:t>
      </w:r>
      <w:r w:rsidR="00A030AF" w:rsidRPr="008E1307">
        <w:rPr>
          <w:rFonts w:asciiTheme="minorHAnsi" w:hAnsiTheme="minorHAnsi"/>
        </w:rPr>
        <w:t xml:space="preserve">are </w:t>
      </w:r>
      <w:r w:rsidR="00851693" w:rsidRPr="008E1307">
        <w:rPr>
          <w:rFonts w:asciiTheme="minorHAnsi" w:hAnsiTheme="minorHAnsi"/>
        </w:rPr>
        <w:t>significantly more likely to have higher annual cost</w:t>
      </w:r>
      <w:r w:rsidR="00A030AF" w:rsidRPr="008E1307">
        <w:rPr>
          <w:rFonts w:asciiTheme="minorHAnsi" w:hAnsiTheme="minorHAnsi"/>
        </w:rPr>
        <w:t xml:space="preserve">, </w:t>
      </w:r>
      <w:r w:rsidR="00692B46" w:rsidRPr="008E1307">
        <w:rPr>
          <w:rFonts w:asciiTheme="minorHAnsi" w:hAnsiTheme="minorHAnsi"/>
        </w:rPr>
        <w:t xml:space="preserve">regardless of the number of ER visits. For stakeholders interested in controlling yearly costs for this patient population, a more thorough investigation of the causes for high severity visits would be recommended. </w:t>
      </w:r>
    </w:p>
    <w:p w14:paraId="68E378AC" w14:textId="77777777" w:rsidR="00CF536E" w:rsidRPr="008E1307" w:rsidRDefault="00CF536E">
      <w:pPr>
        <w:spacing w:after="0"/>
        <w:rPr>
          <w:rFonts w:asciiTheme="minorHAnsi" w:eastAsia="Times New Roman" w:hAnsiTheme="minorHAnsi" w:cs="Calibri"/>
          <w:b/>
          <w:bCs/>
          <w:color w:val="000000"/>
        </w:rPr>
      </w:pPr>
      <w:r w:rsidRPr="008E1307">
        <w:rPr>
          <w:rFonts w:asciiTheme="minorHAnsi" w:hAnsiTheme="minorHAnsi"/>
        </w:rPr>
        <w:br w:type="page"/>
      </w:r>
    </w:p>
    <w:p w14:paraId="39B98597" w14:textId="771E850F" w:rsidR="00226933" w:rsidRPr="008E1307" w:rsidRDefault="00CF536E" w:rsidP="00F02780">
      <w:pPr>
        <w:pStyle w:val="Heading3"/>
        <w:rPr>
          <w:rFonts w:asciiTheme="minorHAnsi" w:hAnsiTheme="minorHAnsi"/>
        </w:rPr>
      </w:pPr>
      <w:r w:rsidRPr="008E1307">
        <w:rPr>
          <w:rFonts w:asciiTheme="minorHAnsi" w:hAnsiTheme="minorHAnsi"/>
        </w:rPr>
        <w:lastRenderedPageBreak/>
        <w:t xml:space="preserve">Section 2: </w:t>
      </w:r>
      <w:r w:rsidR="00F02780" w:rsidRPr="008E1307">
        <w:rPr>
          <w:rFonts w:asciiTheme="minorHAnsi" w:hAnsiTheme="minorHAnsi"/>
        </w:rPr>
        <w:t>Chronic Conditions and Patient Cost</w:t>
      </w:r>
    </w:p>
    <w:p w14:paraId="200B2849" w14:textId="10E71B15" w:rsidR="00952D4E" w:rsidRPr="008E1307" w:rsidRDefault="00952D4E" w:rsidP="00F02780">
      <w:pPr>
        <w:pStyle w:val="Heading4"/>
        <w:rPr>
          <w:rFonts w:asciiTheme="minorHAnsi" w:hAnsiTheme="minorHAnsi"/>
        </w:rPr>
      </w:pPr>
      <w:r w:rsidRPr="008E1307">
        <w:rPr>
          <w:rFonts w:asciiTheme="minorHAnsi" w:hAnsiTheme="minorHAnsi"/>
        </w:rPr>
        <w:t>Question 2: Using the healthDat.csv and fl_zips.csv files, please bring in the city and county that each patient lives in and show how you did it. Additionally, if you do not have access to a SQ</w:t>
      </w:r>
      <w:r w:rsidR="00D605D1">
        <w:rPr>
          <w:rFonts w:asciiTheme="minorHAnsi" w:hAnsiTheme="minorHAnsi"/>
        </w:rPr>
        <w:t xml:space="preserve">L </w:t>
      </w:r>
      <w:r w:rsidRPr="008E1307">
        <w:rPr>
          <w:rFonts w:asciiTheme="minorHAnsi" w:hAnsiTheme="minorHAnsi"/>
        </w:rPr>
        <w:t xml:space="preserve">supported tool, please write SQL pseudo-code that will accomplish this as well. </w:t>
      </w:r>
    </w:p>
    <w:p w14:paraId="5D5BE9F3" w14:textId="3EE593D1" w:rsidR="00F02780" w:rsidRPr="008E1307" w:rsidRDefault="00F02780" w:rsidP="00F02780">
      <w:pPr>
        <w:pStyle w:val="BodyText"/>
        <w:rPr>
          <w:rFonts w:asciiTheme="minorHAnsi" w:hAnsiTheme="minorHAnsi"/>
        </w:rPr>
      </w:pPr>
      <w:proofErr w:type="gramStart"/>
      <w:r w:rsidRPr="008E1307">
        <w:rPr>
          <w:rFonts w:asciiTheme="minorHAnsi" w:hAnsiTheme="minorHAnsi"/>
        </w:rPr>
        <w:t>In order to</w:t>
      </w:r>
      <w:proofErr w:type="gramEnd"/>
      <w:r w:rsidRPr="008E1307">
        <w:rPr>
          <w:rFonts w:asciiTheme="minorHAnsi" w:hAnsiTheme="minorHAnsi"/>
        </w:rPr>
        <w:t xml:space="preserve"> join </w:t>
      </w:r>
      <w:r w:rsidR="00D934D0" w:rsidRPr="008E1307">
        <w:rPr>
          <w:rFonts w:asciiTheme="minorHAnsi" w:hAnsiTheme="minorHAnsi"/>
        </w:rPr>
        <w:t>the tables “</w:t>
      </w:r>
      <w:proofErr w:type="spellStart"/>
      <w:r w:rsidR="00D934D0" w:rsidRPr="008E1307">
        <w:rPr>
          <w:rFonts w:asciiTheme="minorHAnsi" w:hAnsiTheme="minorHAnsi"/>
        </w:rPr>
        <w:t>healthDat</w:t>
      </w:r>
      <w:proofErr w:type="spellEnd"/>
      <w:r w:rsidR="00D934D0" w:rsidRPr="008E1307">
        <w:rPr>
          <w:rFonts w:asciiTheme="minorHAnsi" w:hAnsiTheme="minorHAnsi"/>
        </w:rPr>
        <w:t>” and “</w:t>
      </w:r>
      <w:proofErr w:type="spellStart"/>
      <w:r w:rsidR="00D934D0" w:rsidRPr="008E1307">
        <w:rPr>
          <w:rFonts w:asciiTheme="minorHAnsi" w:hAnsiTheme="minorHAnsi"/>
        </w:rPr>
        <w:t>fl_zips</w:t>
      </w:r>
      <w:proofErr w:type="spellEnd"/>
      <w:r w:rsidR="00D934D0" w:rsidRPr="008E1307">
        <w:rPr>
          <w:rFonts w:asciiTheme="minorHAnsi" w:hAnsiTheme="minorHAnsi"/>
        </w:rPr>
        <w:t>”, the following steps were taken:</w:t>
      </w:r>
    </w:p>
    <w:p w14:paraId="08648296" w14:textId="39A392B2" w:rsidR="00D934D0" w:rsidRPr="008E1307" w:rsidRDefault="00D934D0" w:rsidP="00D934D0">
      <w:pPr>
        <w:pStyle w:val="BodyText"/>
        <w:numPr>
          <w:ilvl w:val="0"/>
          <w:numId w:val="4"/>
        </w:numPr>
        <w:rPr>
          <w:rFonts w:asciiTheme="minorHAnsi" w:hAnsiTheme="minorHAnsi"/>
        </w:rPr>
      </w:pPr>
      <w:r w:rsidRPr="008E1307">
        <w:rPr>
          <w:rFonts w:asciiTheme="minorHAnsi" w:hAnsiTheme="minorHAnsi"/>
        </w:rPr>
        <w:t xml:space="preserve">A local directory was created to house and organize the data, documentation, code, </w:t>
      </w:r>
      <w:r w:rsidR="00E43EBB" w:rsidRPr="008E1307">
        <w:rPr>
          <w:rFonts w:asciiTheme="minorHAnsi" w:hAnsiTheme="minorHAnsi"/>
        </w:rPr>
        <w:t xml:space="preserve">and other files related to the project. </w:t>
      </w:r>
    </w:p>
    <w:p w14:paraId="533F98D2" w14:textId="3FE960AD" w:rsidR="00E43EBB" w:rsidRPr="008E1307" w:rsidRDefault="003F2844" w:rsidP="00D934D0">
      <w:pPr>
        <w:pStyle w:val="BodyText"/>
        <w:numPr>
          <w:ilvl w:val="0"/>
          <w:numId w:val="4"/>
        </w:numPr>
        <w:rPr>
          <w:rFonts w:asciiTheme="minorHAnsi" w:hAnsiTheme="minorHAnsi"/>
        </w:rPr>
      </w:pPr>
      <w:r w:rsidRPr="008E1307">
        <w:rPr>
          <w:rFonts w:asciiTheme="minorHAnsi" w:hAnsiTheme="minorHAnsi"/>
        </w:rPr>
        <w:t xml:space="preserve">A python script was written to import the tables </w:t>
      </w:r>
      <w:r w:rsidR="001E0521" w:rsidRPr="008E1307">
        <w:rPr>
          <w:rFonts w:asciiTheme="minorHAnsi" w:hAnsiTheme="minorHAnsi"/>
        </w:rPr>
        <w:t xml:space="preserve">(along with “ER” table) </w:t>
      </w:r>
      <w:r w:rsidRPr="008E1307">
        <w:rPr>
          <w:rFonts w:asciiTheme="minorHAnsi" w:hAnsiTheme="minorHAnsi"/>
        </w:rPr>
        <w:t xml:space="preserve">as “.csv” files, create </w:t>
      </w:r>
      <w:proofErr w:type="gramStart"/>
      <w:r w:rsidRPr="008E1307">
        <w:rPr>
          <w:rFonts w:asciiTheme="minorHAnsi" w:hAnsiTheme="minorHAnsi"/>
        </w:rPr>
        <w:t>a</w:t>
      </w:r>
      <w:proofErr w:type="gramEnd"/>
      <w:r w:rsidRPr="008E1307">
        <w:rPr>
          <w:rFonts w:asciiTheme="minorHAnsi" w:hAnsiTheme="minorHAnsi"/>
        </w:rPr>
        <w:t xml:space="preserve"> SQLite database</w:t>
      </w:r>
      <w:r w:rsidR="001E0521" w:rsidRPr="008E1307">
        <w:rPr>
          <w:rFonts w:asciiTheme="minorHAnsi" w:hAnsiTheme="minorHAnsi"/>
        </w:rPr>
        <w:t>, and export the tables to the database for later access</w:t>
      </w:r>
      <w:r w:rsidR="003E6A73" w:rsidRPr="008E1307">
        <w:rPr>
          <w:rFonts w:asciiTheme="minorHAnsi" w:hAnsiTheme="minorHAnsi"/>
        </w:rPr>
        <w:t xml:space="preserve"> within R, Python, and SAS programs</w:t>
      </w:r>
      <w:r w:rsidR="001E0521" w:rsidRPr="008E1307">
        <w:rPr>
          <w:rFonts w:asciiTheme="minorHAnsi" w:hAnsiTheme="minorHAnsi"/>
        </w:rPr>
        <w:t xml:space="preserve">. </w:t>
      </w:r>
    </w:p>
    <w:p w14:paraId="01B20A19" w14:textId="32D4A45A" w:rsidR="001E0521" w:rsidRPr="008E1307" w:rsidRDefault="003E6A73" w:rsidP="00D934D0">
      <w:pPr>
        <w:pStyle w:val="BodyText"/>
        <w:numPr>
          <w:ilvl w:val="0"/>
          <w:numId w:val="4"/>
        </w:numPr>
        <w:rPr>
          <w:rFonts w:asciiTheme="minorHAnsi" w:hAnsiTheme="minorHAnsi"/>
        </w:rPr>
      </w:pPr>
      <w:r w:rsidRPr="008E1307">
        <w:rPr>
          <w:rFonts w:asciiTheme="minorHAnsi" w:hAnsiTheme="minorHAnsi"/>
        </w:rPr>
        <w:t xml:space="preserve">The following Python script was used to </w:t>
      </w:r>
      <w:r w:rsidR="00444CB1" w:rsidRPr="008E1307">
        <w:rPr>
          <w:rFonts w:asciiTheme="minorHAnsi" w:hAnsiTheme="minorHAnsi"/>
        </w:rPr>
        <w:t xml:space="preserve">select tables </w:t>
      </w:r>
      <w:proofErr w:type="spellStart"/>
      <w:r w:rsidR="00444CB1" w:rsidRPr="008E1307">
        <w:rPr>
          <w:rFonts w:asciiTheme="minorHAnsi" w:hAnsiTheme="minorHAnsi"/>
        </w:rPr>
        <w:t>healthDat</w:t>
      </w:r>
      <w:proofErr w:type="spellEnd"/>
      <w:r w:rsidR="00444CB1" w:rsidRPr="008E1307">
        <w:rPr>
          <w:rFonts w:asciiTheme="minorHAnsi" w:hAnsiTheme="minorHAnsi"/>
        </w:rPr>
        <w:t xml:space="preserve"> and </w:t>
      </w:r>
      <w:proofErr w:type="spellStart"/>
      <w:r w:rsidR="00444CB1" w:rsidRPr="008E1307">
        <w:rPr>
          <w:rFonts w:asciiTheme="minorHAnsi" w:hAnsiTheme="minorHAnsi"/>
        </w:rPr>
        <w:t>fl_zips</w:t>
      </w:r>
      <w:proofErr w:type="spellEnd"/>
      <w:r w:rsidR="00444CB1" w:rsidRPr="008E1307">
        <w:rPr>
          <w:rFonts w:asciiTheme="minorHAnsi" w:hAnsiTheme="minorHAnsi"/>
        </w:rPr>
        <w:t xml:space="preserve"> connect using a left inner join</w:t>
      </w:r>
      <w:r w:rsidR="00FE56BF" w:rsidRPr="008E1307">
        <w:rPr>
          <w:rFonts w:asciiTheme="minorHAnsi" w:hAnsiTheme="minorHAnsi"/>
        </w:rPr>
        <w:t xml:space="preserve"> (Figure 4). </w:t>
      </w:r>
    </w:p>
    <w:p w14:paraId="22B1DF5F" w14:textId="51B94CA6" w:rsidR="00FE56BF" w:rsidRPr="008E1307" w:rsidRDefault="00F70634" w:rsidP="001E6737">
      <w:pPr>
        <w:pStyle w:val="BodyText"/>
        <w:jc w:val="center"/>
        <w:rPr>
          <w:rFonts w:asciiTheme="minorHAnsi" w:hAnsiTheme="minorHAnsi"/>
        </w:rPr>
      </w:pPr>
      <w:r w:rsidRPr="008E1307">
        <w:rPr>
          <w:rFonts w:asciiTheme="minorHAnsi" w:hAnsiTheme="minorHAnsi"/>
          <w:noProof/>
        </w:rPr>
        <w:drawing>
          <wp:inline distT="0" distB="0" distL="0" distR="0" wp14:anchorId="4CBE5CE3" wp14:editId="3DFE4F79">
            <wp:extent cx="4458322" cy="1971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971950"/>
                    </a:xfrm>
                    <a:prstGeom prst="rect">
                      <a:avLst/>
                    </a:prstGeom>
                  </pic:spPr>
                </pic:pic>
              </a:graphicData>
            </a:graphic>
          </wp:inline>
        </w:drawing>
      </w:r>
    </w:p>
    <w:p w14:paraId="265DFDCB" w14:textId="0D852F15" w:rsidR="001E6737" w:rsidRPr="005061FE" w:rsidRDefault="001E6737" w:rsidP="001E6737">
      <w:pPr>
        <w:pStyle w:val="BodyText"/>
        <w:jc w:val="center"/>
        <w:rPr>
          <w:rFonts w:asciiTheme="minorHAnsi" w:hAnsiTheme="minorHAnsi"/>
          <w:sz w:val="20"/>
          <w:szCs w:val="20"/>
        </w:rPr>
      </w:pPr>
      <w:r w:rsidRPr="005061FE">
        <w:rPr>
          <w:rFonts w:asciiTheme="minorHAnsi" w:hAnsiTheme="minorHAnsi"/>
          <w:sz w:val="20"/>
          <w:szCs w:val="20"/>
        </w:rPr>
        <w:t>Figure 4. SQL query to SQLite database within Python script</w:t>
      </w:r>
    </w:p>
    <w:p w14:paraId="0A06F14F" w14:textId="6199EFB3" w:rsidR="003D6966" w:rsidRPr="008E1307" w:rsidRDefault="003D6966" w:rsidP="00A2436E">
      <w:pPr>
        <w:pStyle w:val="BodyText"/>
        <w:rPr>
          <w:rFonts w:asciiTheme="minorHAnsi" w:hAnsiTheme="minorHAnsi"/>
          <w:i/>
          <w:iCs/>
        </w:rPr>
      </w:pPr>
      <w:r w:rsidRPr="008E1307">
        <w:rPr>
          <w:rFonts w:asciiTheme="minorHAnsi" w:hAnsiTheme="minorHAnsi"/>
          <w:i/>
          <w:iCs/>
        </w:rPr>
        <w:t>Rationale</w:t>
      </w:r>
    </w:p>
    <w:p w14:paraId="4C0A0C63" w14:textId="549DD995" w:rsidR="00F02780" w:rsidRPr="008E1307" w:rsidRDefault="00A2436E" w:rsidP="00F02780">
      <w:pPr>
        <w:pStyle w:val="BodyText"/>
        <w:rPr>
          <w:rFonts w:asciiTheme="minorHAnsi" w:hAnsiTheme="minorHAnsi"/>
        </w:rPr>
      </w:pPr>
      <w:r w:rsidRPr="008E1307">
        <w:rPr>
          <w:rFonts w:asciiTheme="minorHAnsi" w:hAnsiTheme="minorHAnsi"/>
        </w:rPr>
        <w:t xml:space="preserve">The left inner join as used </w:t>
      </w:r>
      <w:proofErr w:type="gramStart"/>
      <w:r w:rsidRPr="008E1307">
        <w:rPr>
          <w:rFonts w:asciiTheme="minorHAnsi" w:hAnsiTheme="minorHAnsi"/>
        </w:rPr>
        <w:t>in order to</w:t>
      </w:r>
      <w:proofErr w:type="gramEnd"/>
      <w:r w:rsidRPr="008E1307">
        <w:rPr>
          <w:rFonts w:asciiTheme="minorHAnsi" w:hAnsiTheme="minorHAnsi"/>
        </w:rPr>
        <w:t xml:space="preserve"> keep all records from the </w:t>
      </w:r>
      <w:proofErr w:type="spellStart"/>
      <w:r w:rsidRPr="008E1307">
        <w:rPr>
          <w:rFonts w:asciiTheme="minorHAnsi" w:hAnsiTheme="minorHAnsi"/>
        </w:rPr>
        <w:t>healthDat</w:t>
      </w:r>
      <w:proofErr w:type="spellEnd"/>
      <w:r w:rsidRPr="008E1307">
        <w:rPr>
          <w:rFonts w:asciiTheme="minorHAnsi" w:hAnsiTheme="minorHAnsi"/>
        </w:rPr>
        <w:t xml:space="preserve"> table </w:t>
      </w:r>
      <w:r w:rsidR="0014365E" w:rsidRPr="008E1307">
        <w:rPr>
          <w:rFonts w:asciiTheme="minorHAnsi" w:hAnsiTheme="minorHAnsi"/>
        </w:rPr>
        <w:t xml:space="preserve">and only records that matched from the </w:t>
      </w:r>
      <w:proofErr w:type="spellStart"/>
      <w:r w:rsidR="0014365E" w:rsidRPr="008E1307">
        <w:rPr>
          <w:rFonts w:asciiTheme="minorHAnsi" w:hAnsiTheme="minorHAnsi"/>
        </w:rPr>
        <w:t>fl_zips</w:t>
      </w:r>
      <w:proofErr w:type="spellEnd"/>
      <w:r w:rsidR="0014365E" w:rsidRPr="008E1307">
        <w:rPr>
          <w:rFonts w:asciiTheme="minorHAnsi" w:hAnsiTheme="minorHAnsi"/>
        </w:rPr>
        <w:t xml:space="preserve"> table. Since booth tables </w:t>
      </w:r>
      <w:r w:rsidR="009752F5" w:rsidRPr="008E1307">
        <w:rPr>
          <w:rFonts w:asciiTheme="minorHAnsi" w:hAnsiTheme="minorHAnsi"/>
        </w:rPr>
        <w:t xml:space="preserve">contained the same “Zip” column that was defined and stored identically, this column was used to match records. </w:t>
      </w:r>
      <w:r w:rsidR="00731BFE" w:rsidRPr="008E1307">
        <w:rPr>
          <w:rFonts w:asciiTheme="minorHAnsi" w:hAnsiTheme="minorHAnsi"/>
        </w:rPr>
        <w:t>Since “County”</w:t>
      </w:r>
      <w:r w:rsidR="00F70634" w:rsidRPr="008E1307">
        <w:rPr>
          <w:rFonts w:asciiTheme="minorHAnsi" w:hAnsiTheme="minorHAnsi"/>
        </w:rPr>
        <w:t xml:space="preserve"> and “City”</w:t>
      </w:r>
      <w:r w:rsidR="00731BFE" w:rsidRPr="008E1307">
        <w:rPr>
          <w:rFonts w:asciiTheme="minorHAnsi" w:hAnsiTheme="minorHAnsi"/>
        </w:rPr>
        <w:t xml:space="preserve"> w</w:t>
      </w:r>
      <w:r w:rsidR="00F70634" w:rsidRPr="008E1307">
        <w:rPr>
          <w:rFonts w:asciiTheme="minorHAnsi" w:hAnsiTheme="minorHAnsi"/>
        </w:rPr>
        <w:t>ere</w:t>
      </w:r>
      <w:r w:rsidR="00731BFE" w:rsidRPr="008E1307">
        <w:rPr>
          <w:rFonts w:asciiTheme="minorHAnsi" w:hAnsiTheme="minorHAnsi"/>
        </w:rPr>
        <w:t xml:space="preserve"> the only column</w:t>
      </w:r>
      <w:r w:rsidR="00F70634" w:rsidRPr="008E1307">
        <w:rPr>
          <w:rFonts w:asciiTheme="minorHAnsi" w:hAnsiTheme="minorHAnsi"/>
        </w:rPr>
        <w:t>s</w:t>
      </w:r>
      <w:r w:rsidR="00731BFE" w:rsidRPr="008E1307">
        <w:rPr>
          <w:rFonts w:asciiTheme="minorHAnsi" w:hAnsiTheme="minorHAnsi"/>
        </w:rPr>
        <w:t xml:space="preserve"> needed from the “</w:t>
      </w:r>
      <w:proofErr w:type="spellStart"/>
      <w:r w:rsidR="00731BFE" w:rsidRPr="008E1307">
        <w:rPr>
          <w:rFonts w:asciiTheme="minorHAnsi" w:hAnsiTheme="minorHAnsi"/>
        </w:rPr>
        <w:t>fl_zip</w:t>
      </w:r>
      <w:proofErr w:type="spellEnd"/>
      <w:r w:rsidR="00731BFE" w:rsidRPr="008E1307">
        <w:rPr>
          <w:rFonts w:asciiTheme="minorHAnsi" w:hAnsiTheme="minorHAnsi"/>
        </w:rPr>
        <w:t xml:space="preserve">” table, it was the only </w:t>
      </w:r>
      <w:r w:rsidR="00F70634" w:rsidRPr="008E1307">
        <w:rPr>
          <w:rFonts w:asciiTheme="minorHAnsi" w:hAnsiTheme="minorHAnsi"/>
        </w:rPr>
        <w:t>two</w:t>
      </w:r>
      <w:r w:rsidR="00731BFE" w:rsidRPr="008E1307">
        <w:rPr>
          <w:rFonts w:asciiTheme="minorHAnsi" w:hAnsiTheme="minorHAnsi"/>
        </w:rPr>
        <w:t xml:space="preserve"> in the “SELECT” statement. </w:t>
      </w:r>
      <w:r w:rsidR="00040409" w:rsidRPr="008E1307">
        <w:rPr>
          <w:rFonts w:asciiTheme="minorHAnsi" w:hAnsiTheme="minorHAnsi"/>
        </w:rPr>
        <w:t>This query was used to generate a table</w:t>
      </w:r>
      <w:r w:rsidR="00647C8B" w:rsidRPr="008E1307">
        <w:rPr>
          <w:rFonts w:asciiTheme="minorHAnsi" w:hAnsiTheme="minorHAnsi"/>
        </w:rPr>
        <w:t xml:space="preserve"> that contained all the columns within the “</w:t>
      </w:r>
      <w:proofErr w:type="spellStart"/>
      <w:r w:rsidR="00647C8B" w:rsidRPr="008E1307">
        <w:rPr>
          <w:rFonts w:asciiTheme="minorHAnsi" w:hAnsiTheme="minorHAnsi"/>
        </w:rPr>
        <w:t>healthDat</w:t>
      </w:r>
      <w:proofErr w:type="spellEnd"/>
      <w:r w:rsidR="00647C8B" w:rsidRPr="008E1307">
        <w:rPr>
          <w:rFonts w:asciiTheme="minorHAnsi" w:hAnsiTheme="minorHAnsi"/>
        </w:rPr>
        <w:t xml:space="preserve">” table along with </w:t>
      </w:r>
      <w:r w:rsidR="00F70634" w:rsidRPr="008E1307">
        <w:rPr>
          <w:rFonts w:asciiTheme="minorHAnsi" w:hAnsiTheme="minorHAnsi"/>
        </w:rPr>
        <w:t xml:space="preserve">the geographic labels for </w:t>
      </w:r>
      <w:r w:rsidR="00042354" w:rsidRPr="008E1307">
        <w:rPr>
          <w:rFonts w:asciiTheme="minorHAnsi" w:hAnsiTheme="minorHAnsi"/>
        </w:rPr>
        <w:t xml:space="preserve">analysis in Questions 3-5. </w:t>
      </w:r>
    </w:p>
    <w:p w14:paraId="671543D2" w14:textId="5BB753F2" w:rsidR="00952D4E" w:rsidRPr="008E1307" w:rsidRDefault="00952D4E" w:rsidP="003D6966">
      <w:pPr>
        <w:pStyle w:val="Heading4"/>
        <w:rPr>
          <w:rFonts w:asciiTheme="minorHAnsi" w:hAnsiTheme="minorHAnsi"/>
        </w:rPr>
      </w:pPr>
      <w:r w:rsidRPr="008E1307">
        <w:rPr>
          <w:rFonts w:asciiTheme="minorHAnsi" w:hAnsiTheme="minorHAnsi"/>
        </w:rPr>
        <w:t xml:space="preserve">Question 3: Using the healthDat.csv and fl_zips.csv files, please provide 2-3 observations or recommendations as they relate to costs. Keep in mind that the goal is to reduce overall costs for this population. </w:t>
      </w:r>
    </w:p>
    <w:p w14:paraId="231C5038" w14:textId="30D2CEB9" w:rsidR="00F55D44" w:rsidRPr="008E1307" w:rsidRDefault="00F55D44" w:rsidP="00F55D44">
      <w:pPr>
        <w:pStyle w:val="FirstParagraph"/>
        <w:rPr>
          <w:rFonts w:asciiTheme="minorHAnsi" w:hAnsiTheme="minorHAnsi"/>
          <w:i/>
          <w:iCs/>
        </w:rPr>
      </w:pPr>
      <w:r w:rsidRPr="008E1307">
        <w:rPr>
          <w:rFonts w:asciiTheme="minorHAnsi" w:hAnsiTheme="minorHAnsi"/>
          <w:i/>
          <w:iCs/>
        </w:rPr>
        <w:t xml:space="preserve">Question 4: Using the healthDat.csv file, please list the 3 most prevalent chronic conditions as well as describe any relationships between conditions that you may have found. </w:t>
      </w:r>
    </w:p>
    <w:p w14:paraId="121BDB21" w14:textId="1CC10B4F" w:rsidR="003D6966" w:rsidRPr="008E1307" w:rsidRDefault="002A1352" w:rsidP="00051EC8">
      <w:pPr>
        <w:pStyle w:val="Heading5"/>
        <w:rPr>
          <w:rFonts w:asciiTheme="minorHAnsi" w:hAnsiTheme="minorHAnsi"/>
        </w:rPr>
      </w:pPr>
      <w:r w:rsidRPr="008E1307">
        <w:rPr>
          <w:rFonts w:asciiTheme="minorHAnsi" w:hAnsiTheme="minorHAnsi"/>
        </w:rPr>
        <w:t xml:space="preserve">Observation 1: </w:t>
      </w:r>
      <w:r w:rsidR="00D84AF7" w:rsidRPr="008E1307">
        <w:rPr>
          <w:rFonts w:asciiTheme="minorHAnsi" w:hAnsiTheme="minorHAnsi"/>
        </w:rPr>
        <w:t>D</w:t>
      </w:r>
      <w:r w:rsidRPr="008E1307">
        <w:rPr>
          <w:rFonts w:asciiTheme="minorHAnsi" w:hAnsiTheme="minorHAnsi"/>
        </w:rPr>
        <w:t>ifferences</w:t>
      </w:r>
      <w:r w:rsidR="00263D70" w:rsidRPr="008E1307">
        <w:rPr>
          <w:rFonts w:asciiTheme="minorHAnsi" w:hAnsiTheme="minorHAnsi"/>
        </w:rPr>
        <w:t xml:space="preserve"> </w:t>
      </w:r>
      <w:r w:rsidR="00E847A8" w:rsidRPr="008E1307">
        <w:rPr>
          <w:rFonts w:asciiTheme="minorHAnsi" w:hAnsiTheme="minorHAnsi"/>
        </w:rPr>
        <w:t xml:space="preserve">in prevalence </w:t>
      </w:r>
      <w:r w:rsidR="00263D70" w:rsidRPr="008E1307">
        <w:rPr>
          <w:rFonts w:asciiTheme="minorHAnsi" w:hAnsiTheme="minorHAnsi"/>
        </w:rPr>
        <w:t>among</w:t>
      </w:r>
      <w:r w:rsidRPr="008E1307">
        <w:rPr>
          <w:rFonts w:asciiTheme="minorHAnsi" w:hAnsiTheme="minorHAnsi"/>
        </w:rPr>
        <w:t xml:space="preserve"> </w:t>
      </w:r>
      <w:r w:rsidR="00E847A8" w:rsidRPr="008E1307">
        <w:rPr>
          <w:rFonts w:asciiTheme="minorHAnsi" w:hAnsiTheme="minorHAnsi"/>
        </w:rPr>
        <w:t>c</w:t>
      </w:r>
      <w:r w:rsidRPr="008E1307">
        <w:rPr>
          <w:rFonts w:asciiTheme="minorHAnsi" w:hAnsiTheme="minorHAnsi"/>
        </w:rPr>
        <w:t xml:space="preserve">hronic </w:t>
      </w:r>
      <w:r w:rsidR="00E847A8" w:rsidRPr="008E1307">
        <w:rPr>
          <w:rFonts w:asciiTheme="minorHAnsi" w:hAnsiTheme="minorHAnsi"/>
        </w:rPr>
        <w:t>c</w:t>
      </w:r>
      <w:r w:rsidRPr="008E1307">
        <w:rPr>
          <w:rFonts w:asciiTheme="minorHAnsi" w:hAnsiTheme="minorHAnsi"/>
        </w:rPr>
        <w:t>onditions</w:t>
      </w:r>
      <w:r w:rsidR="00263D70" w:rsidRPr="008E1307">
        <w:rPr>
          <w:rFonts w:asciiTheme="minorHAnsi" w:hAnsiTheme="minorHAnsi"/>
        </w:rPr>
        <w:t xml:space="preserve"> by </w:t>
      </w:r>
      <w:r w:rsidR="00E847A8" w:rsidRPr="008E1307">
        <w:rPr>
          <w:rFonts w:asciiTheme="minorHAnsi" w:hAnsiTheme="minorHAnsi"/>
        </w:rPr>
        <w:t>a</w:t>
      </w:r>
      <w:r w:rsidR="00263D70" w:rsidRPr="008E1307">
        <w:rPr>
          <w:rFonts w:asciiTheme="minorHAnsi" w:hAnsiTheme="minorHAnsi"/>
        </w:rPr>
        <w:t xml:space="preserve">ge and </w:t>
      </w:r>
      <w:r w:rsidR="00E847A8" w:rsidRPr="008E1307">
        <w:rPr>
          <w:rFonts w:asciiTheme="minorHAnsi" w:hAnsiTheme="minorHAnsi"/>
        </w:rPr>
        <w:t>a</w:t>
      </w:r>
      <w:r w:rsidR="00263D70" w:rsidRPr="008E1307">
        <w:rPr>
          <w:rFonts w:asciiTheme="minorHAnsi" w:hAnsiTheme="minorHAnsi"/>
        </w:rPr>
        <w:t>rea</w:t>
      </w:r>
      <w:r w:rsidR="00D84AF7" w:rsidRPr="008E1307">
        <w:rPr>
          <w:rFonts w:asciiTheme="minorHAnsi" w:hAnsiTheme="minorHAnsi"/>
        </w:rPr>
        <w:t>.</w:t>
      </w:r>
    </w:p>
    <w:p w14:paraId="4CFFCD13" w14:textId="7A2650F0" w:rsidR="001536B2" w:rsidRPr="008E1307" w:rsidRDefault="00451D22" w:rsidP="001536B2">
      <w:pPr>
        <w:spacing w:after="0"/>
        <w:rPr>
          <w:rFonts w:asciiTheme="minorHAnsi" w:hAnsiTheme="minorHAnsi"/>
        </w:rPr>
      </w:pPr>
      <w:proofErr w:type="gramStart"/>
      <w:r w:rsidRPr="008E1307">
        <w:rPr>
          <w:rFonts w:asciiTheme="minorHAnsi" w:hAnsiTheme="minorHAnsi"/>
        </w:rPr>
        <w:lastRenderedPageBreak/>
        <w:t>In order to</w:t>
      </w:r>
      <w:proofErr w:type="gramEnd"/>
      <w:r w:rsidRPr="008E1307">
        <w:rPr>
          <w:rFonts w:asciiTheme="minorHAnsi" w:hAnsiTheme="minorHAnsi"/>
        </w:rPr>
        <w:t xml:space="preserve"> identify chronic conditions that are relevant to higher cost in patients, it is </w:t>
      </w:r>
      <w:r w:rsidR="00AB352A" w:rsidRPr="008E1307">
        <w:rPr>
          <w:rFonts w:asciiTheme="minorHAnsi" w:hAnsiTheme="minorHAnsi"/>
        </w:rPr>
        <w:t xml:space="preserve">necessary to identify the top chronic conditions for the population represented in the data. </w:t>
      </w:r>
      <w:r w:rsidR="009C5D85" w:rsidRPr="008E1307">
        <w:rPr>
          <w:rFonts w:asciiTheme="minorHAnsi" w:hAnsiTheme="minorHAnsi"/>
        </w:rPr>
        <w:t xml:space="preserve">Table 3 shows </w:t>
      </w:r>
      <w:r w:rsidR="00010476" w:rsidRPr="008E1307">
        <w:rPr>
          <w:rFonts w:asciiTheme="minorHAnsi" w:hAnsiTheme="minorHAnsi"/>
        </w:rPr>
        <w:t xml:space="preserve">the </w:t>
      </w:r>
      <w:r w:rsidR="00A17EB8" w:rsidRPr="008E1307">
        <w:rPr>
          <w:rFonts w:asciiTheme="minorHAnsi" w:hAnsiTheme="minorHAnsi"/>
        </w:rPr>
        <w:t xml:space="preserve">crude </w:t>
      </w:r>
      <w:r w:rsidR="00010476" w:rsidRPr="008E1307">
        <w:rPr>
          <w:rFonts w:asciiTheme="minorHAnsi" w:hAnsiTheme="minorHAnsi"/>
        </w:rPr>
        <w:t xml:space="preserve">prevalence of </w:t>
      </w:r>
      <w:r w:rsidR="009C5D85" w:rsidRPr="008E1307">
        <w:rPr>
          <w:rFonts w:asciiTheme="minorHAnsi" w:hAnsiTheme="minorHAnsi"/>
        </w:rPr>
        <w:t xml:space="preserve">each of the chronic conditions (CC) </w:t>
      </w:r>
      <w:r w:rsidR="00010476" w:rsidRPr="008E1307">
        <w:rPr>
          <w:rFonts w:asciiTheme="minorHAnsi" w:hAnsiTheme="minorHAnsi"/>
        </w:rPr>
        <w:t>among beneficiaries</w:t>
      </w:r>
      <w:r w:rsidR="00A17EB8" w:rsidRPr="008E1307">
        <w:rPr>
          <w:rFonts w:asciiTheme="minorHAnsi" w:hAnsiTheme="minorHAnsi"/>
        </w:rPr>
        <w:t xml:space="preserve"> as well as the age and area adjusted prevalence</w:t>
      </w:r>
      <w:r w:rsidR="000D121A" w:rsidRPr="008E1307">
        <w:rPr>
          <w:rFonts w:asciiTheme="minorHAnsi" w:hAnsiTheme="minorHAnsi"/>
        </w:rPr>
        <w:t xml:space="preserve">. </w:t>
      </w:r>
      <w:r w:rsidR="00D402A2" w:rsidRPr="008E1307">
        <w:rPr>
          <w:rFonts w:asciiTheme="minorHAnsi" w:hAnsiTheme="minorHAnsi"/>
        </w:rPr>
        <w:t xml:space="preserve">Table 4 shows the </w:t>
      </w:r>
      <w:r w:rsidR="001536B2" w:rsidRPr="008E1307">
        <w:rPr>
          <w:rFonts w:asciiTheme="minorHAnsi" w:hAnsiTheme="minorHAnsi"/>
        </w:rPr>
        <w:t xml:space="preserve">age and areas specific rates along with the adjusted rates for further detail. </w:t>
      </w:r>
    </w:p>
    <w:p w14:paraId="53A6AE3E" w14:textId="45C4032A" w:rsidR="00A40FBB" w:rsidRPr="008E1307" w:rsidRDefault="00A40FBB">
      <w:pPr>
        <w:spacing w:after="0"/>
        <w:rPr>
          <w:rFonts w:asciiTheme="minorHAnsi" w:hAnsiTheme="minorHAnsi"/>
        </w:rPr>
      </w:pPr>
    </w:p>
    <w:tbl>
      <w:tblPr>
        <w:tblW w:w="5000" w:type="pct"/>
        <w:tblLook w:val="04A0" w:firstRow="1" w:lastRow="0" w:firstColumn="1" w:lastColumn="0" w:noHBand="0" w:noVBand="1"/>
      </w:tblPr>
      <w:tblGrid>
        <w:gridCol w:w="3870"/>
        <w:gridCol w:w="1784"/>
        <w:gridCol w:w="1842"/>
        <w:gridCol w:w="1844"/>
      </w:tblGrid>
      <w:tr w:rsidR="005E267D" w:rsidRPr="008E1307" w14:paraId="5542D35B" w14:textId="77777777" w:rsidTr="005E267D">
        <w:trPr>
          <w:trHeight w:val="643"/>
        </w:trPr>
        <w:tc>
          <w:tcPr>
            <w:tcW w:w="5000" w:type="pct"/>
            <w:gridSpan w:val="4"/>
            <w:tcBorders>
              <w:top w:val="single" w:sz="8" w:space="0" w:color="auto"/>
              <w:left w:val="single" w:sz="8" w:space="0" w:color="auto"/>
              <w:bottom w:val="nil"/>
              <w:right w:val="single" w:sz="8" w:space="0" w:color="000000"/>
            </w:tcBorders>
            <w:shd w:val="clear" w:color="auto" w:fill="auto"/>
            <w:vAlign w:val="center"/>
            <w:hideMark/>
          </w:tcPr>
          <w:p w14:paraId="001C35A6" w14:textId="02469DFF" w:rsidR="005E267D" w:rsidRPr="008E1307" w:rsidRDefault="005E267D" w:rsidP="005E267D">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t>Table III. Crude, Area, and Age Adjusted Rates of Chronic Diseases</w:t>
            </w:r>
          </w:p>
        </w:tc>
      </w:tr>
      <w:tr w:rsidR="005E267D" w:rsidRPr="008E1307" w14:paraId="3E9FD5A7" w14:textId="77777777" w:rsidTr="005E267D">
        <w:trPr>
          <w:trHeight w:val="313"/>
        </w:trPr>
        <w:tc>
          <w:tcPr>
            <w:tcW w:w="2072" w:type="pct"/>
            <w:vMerge w:val="restart"/>
            <w:tcBorders>
              <w:top w:val="nil"/>
              <w:left w:val="single" w:sz="8" w:space="0" w:color="auto"/>
              <w:bottom w:val="single" w:sz="4" w:space="0" w:color="000000"/>
              <w:right w:val="nil"/>
            </w:tcBorders>
            <w:shd w:val="clear" w:color="auto" w:fill="auto"/>
            <w:noWrap/>
            <w:vAlign w:val="bottom"/>
            <w:hideMark/>
          </w:tcPr>
          <w:p w14:paraId="7FB330C8"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955" w:type="pct"/>
            <w:tcBorders>
              <w:top w:val="nil"/>
              <w:left w:val="nil"/>
              <w:bottom w:val="single" w:sz="4" w:space="0" w:color="auto"/>
              <w:right w:val="nil"/>
            </w:tcBorders>
            <w:shd w:val="clear" w:color="auto" w:fill="auto"/>
            <w:noWrap/>
            <w:vAlign w:val="center"/>
            <w:hideMark/>
          </w:tcPr>
          <w:p w14:paraId="1863785F"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xml:space="preserve">Total </w:t>
            </w:r>
          </w:p>
        </w:tc>
        <w:tc>
          <w:tcPr>
            <w:tcW w:w="986" w:type="pct"/>
            <w:tcBorders>
              <w:top w:val="nil"/>
              <w:left w:val="nil"/>
              <w:bottom w:val="single" w:sz="4" w:space="0" w:color="auto"/>
              <w:right w:val="nil"/>
            </w:tcBorders>
            <w:shd w:val="clear" w:color="auto" w:fill="auto"/>
            <w:noWrap/>
            <w:vAlign w:val="bottom"/>
            <w:hideMark/>
          </w:tcPr>
          <w:p w14:paraId="3B0D96F9"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Area</w:t>
            </w:r>
          </w:p>
        </w:tc>
        <w:tc>
          <w:tcPr>
            <w:tcW w:w="987" w:type="pct"/>
            <w:tcBorders>
              <w:top w:val="nil"/>
              <w:left w:val="nil"/>
              <w:bottom w:val="single" w:sz="4" w:space="0" w:color="auto"/>
              <w:right w:val="single" w:sz="8" w:space="0" w:color="auto"/>
            </w:tcBorders>
            <w:shd w:val="clear" w:color="auto" w:fill="auto"/>
            <w:noWrap/>
            <w:vAlign w:val="bottom"/>
            <w:hideMark/>
          </w:tcPr>
          <w:p w14:paraId="1365ACB8" w14:textId="5E6F938D"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Age</w:t>
            </w:r>
            <w:r w:rsidR="00501F70" w:rsidRPr="008E1307">
              <w:rPr>
                <w:rFonts w:asciiTheme="minorHAnsi" w:eastAsia="Times New Roman" w:hAnsiTheme="minorHAnsi" w:cs="Calibri"/>
                <w:b/>
                <w:bCs/>
                <w:color w:val="000000"/>
                <w:sz w:val="22"/>
                <w:szCs w:val="22"/>
              </w:rPr>
              <w:t>**</w:t>
            </w:r>
          </w:p>
        </w:tc>
      </w:tr>
      <w:tr w:rsidR="005E267D" w:rsidRPr="008E1307" w14:paraId="06C280C9" w14:textId="77777777" w:rsidTr="005E267D">
        <w:trPr>
          <w:trHeight w:val="313"/>
        </w:trPr>
        <w:tc>
          <w:tcPr>
            <w:tcW w:w="2072" w:type="pct"/>
            <w:vMerge/>
            <w:tcBorders>
              <w:top w:val="nil"/>
              <w:left w:val="single" w:sz="8" w:space="0" w:color="auto"/>
              <w:bottom w:val="single" w:sz="4" w:space="0" w:color="000000"/>
              <w:right w:val="nil"/>
            </w:tcBorders>
            <w:vAlign w:val="center"/>
            <w:hideMark/>
          </w:tcPr>
          <w:p w14:paraId="14D43419"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55" w:type="pct"/>
            <w:tcBorders>
              <w:top w:val="nil"/>
              <w:left w:val="nil"/>
              <w:bottom w:val="single" w:sz="4" w:space="0" w:color="auto"/>
              <w:right w:val="nil"/>
            </w:tcBorders>
            <w:shd w:val="clear" w:color="auto" w:fill="auto"/>
            <w:vAlign w:val="center"/>
            <w:hideMark/>
          </w:tcPr>
          <w:p w14:paraId="2BDF610D"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Crude</w:t>
            </w:r>
          </w:p>
        </w:tc>
        <w:tc>
          <w:tcPr>
            <w:tcW w:w="986" w:type="pct"/>
            <w:tcBorders>
              <w:top w:val="nil"/>
              <w:left w:val="nil"/>
              <w:bottom w:val="single" w:sz="4" w:space="0" w:color="auto"/>
              <w:right w:val="nil"/>
            </w:tcBorders>
            <w:shd w:val="clear" w:color="auto" w:fill="auto"/>
            <w:vAlign w:val="center"/>
            <w:hideMark/>
          </w:tcPr>
          <w:p w14:paraId="339AEB84" w14:textId="77777777" w:rsidR="005E267D" w:rsidRPr="008E1307" w:rsidRDefault="005E267D" w:rsidP="005E267D">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Adjusted </w:t>
            </w:r>
          </w:p>
        </w:tc>
        <w:tc>
          <w:tcPr>
            <w:tcW w:w="987" w:type="pct"/>
            <w:tcBorders>
              <w:top w:val="nil"/>
              <w:left w:val="nil"/>
              <w:bottom w:val="single" w:sz="4" w:space="0" w:color="auto"/>
              <w:right w:val="single" w:sz="8" w:space="0" w:color="auto"/>
            </w:tcBorders>
            <w:shd w:val="clear" w:color="auto" w:fill="auto"/>
            <w:vAlign w:val="center"/>
            <w:hideMark/>
          </w:tcPr>
          <w:p w14:paraId="5949FED8" w14:textId="77777777" w:rsidR="005E267D" w:rsidRPr="008E1307" w:rsidRDefault="005E267D" w:rsidP="005E267D">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Adjusted </w:t>
            </w:r>
          </w:p>
        </w:tc>
      </w:tr>
      <w:tr w:rsidR="005E267D" w:rsidRPr="008E1307" w14:paraId="0E9A5BD7" w14:textId="77777777" w:rsidTr="005E267D">
        <w:trPr>
          <w:trHeight w:val="313"/>
        </w:trPr>
        <w:tc>
          <w:tcPr>
            <w:tcW w:w="2072" w:type="pct"/>
            <w:tcBorders>
              <w:top w:val="nil"/>
              <w:left w:val="single" w:sz="8" w:space="0" w:color="auto"/>
              <w:bottom w:val="nil"/>
              <w:right w:val="nil"/>
            </w:tcBorders>
            <w:shd w:val="clear" w:color="auto" w:fill="auto"/>
            <w:noWrap/>
            <w:vAlign w:val="bottom"/>
            <w:hideMark/>
          </w:tcPr>
          <w:p w14:paraId="6ED34A1A" w14:textId="505E0E21" w:rsidR="005E267D" w:rsidRPr="008E1307" w:rsidRDefault="00CA78FE"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Population</w:t>
            </w:r>
            <w:r w:rsidR="005E267D" w:rsidRPr="008E1307">
              <w:rPr>
                <w:rFonts w:asciiTheme="minorHAnsi" w:eastAsia="Times New Roman" w:hAnsiTheme="minorHAnsi" w:cs="Calibri"/>
                <w:b/>
                <w:bCs/>
                <w:color w:val="000000"/>
                <w:sz w:val="22"/>
                <w:szCs w:val="22"/>
              </w:rPr>
              <w:t>*</w:t>
            </w:r>
          </w:p>
        </w:tc>
        <w:tc>
          <w:tcPr>
            <w:tcW w:w="955" w:type="pct"/>
            <w:tcBorders>
              <w:top w:val="nil"/>
              <w:left w:val="nil"/>
              <w:bottom w:val="nil"/>
              <w:right w:val="nil"/>
            </w:tcBorders>
            <w:shd w:val="clear" w:color="auto" w:fill="auto"/>
            <w:noWrap/>
            <w:vAlign w:val="bottom"/>
            <w:hideMark/>
          </w:tcPr>
          <w:p w14:paraId="3ACEB24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15000</w:t>
            </w:r>
          </w:p>
        </w:tc>
        <w:tc>
          <w:tcPr>
            <w:tcW w:w="986" w:type="pct"/>
            <w:tcBorders>
              <w:top w:val="nil"/>
              <w:left w:val="nil"/>
              <w:bottom w:val="nil"/>
              <w:right w:val="nil"/>
            </w:tcBorders>
            <w:shd w:val="clear" w:color="auto" w:fill="auto"/>
            <w:noWrap/>
            <w:vAlign w:val="bottom"/>
            <w:hideMark/>
          </w:tcPr>
          <w:p w14:paraId="269AC1F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5000</w:t>
            </w:r>
          </w:p>
        </w:tc>
        <w:tc>
          <w:tcPr>
            <w:tcW w:w="987" w:type="pct"/>
            <w:tcBorders>
              <w:top w:val="nil"/>
              <w:left w:val="nil"/>
              <w:bottom w:val="nil"/>
              <w:right w:val="single" w:sz="8" w:space="0" w:color="auto"/>
            </w:tcBorders>
            <w:shd w:val="clear" w:color="auto" w:fill="auto"/>
            <w:noWrap/>
            <w:vAlign w:val="bottom"/>
            <w:hideMark/>
          </w:tcPr>
          <w:p w14:paraId="1A10B91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1250</w:t>
            </w:r>
          </w:p>
        </w:tc>
      </w:tr>
      <w:tr w:rsidR="005E267D" w:rsidRPr="008E1307" w14:paraId="5BF9A91A" w14:textId="77777777" w:rsidTr="005E267D">
        <w:trPr>
          <w:trHeight w:val="313"/>
        </w:trPr>
        <w:tc>
          <w:tcPr>
            <w:tcW w:w="2072" w:type="pct"/>
            <w:tcBorders>
              <w:top w:val="nil"/>
              <w:left w:val="single" w:sz="8" w:space="0" w:color="auto"/>
              <w:bottom w:val="nil"/>
              <w:right w:val="nil"/>
            </w:tcBorders>
            <w:shd w:val="clear" w:color="auto" w:fill="auto"/>
            <w:noWrap/>
            <w:vAlign w:val="bottom"/>
            <w:hideMark/>
          </w:tcPr>
          <w:p w14:paraId="52C1F376" w14:textId="77777777" w:rsidR="005E267D" w:rsidRPr="008E1307" w:rsidRDefault="005E267D"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955" w:type="pct"/>
            <w:tcBorders>
              <w:top w:val="nil"/>
              <w:left w:val="nil"/>
              <w:bottom w:val="nil"/>
              <w:right w:val="nil"/>
            </w:tcBorders>
            <w:shd w:val="clear" w:color="auto" w:fill="auto"/>
            <w:noWrap/>
            <w:vAlign w:val="bottom"/>
            <w:hideMark/>
          </w:tcPr>
          <w:p w14:paraId="75A5E415"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86" w:type="pct"/>
            <w:tcBorders>
              <w:top w:val="nil"/>
              <w:left w:val="nil"/>
              <w:bottom w:val="nil"/>
              <w:right w:val="nil"/>
            </w:tcBorders>
            <w:shd w:val="clear" w:color="auto" w:fill="auto"/>
            <w:noWrap/>
            <w:vAlign w:val="bottom"/>
            <w:hideMark/>
          </w:tcPr>
          <w:p w14:paraId="782C013F" w14:textId="77777777" w:rsidR="005E267D" w:rsidRPr="008E1307" w:rsidRDefault="005E267D" w:rsidP="005E267D">
            <w:pPr>
              <w:spacing w:after="0"/>
              <w:rPr>
                <w:rFonts w:asciiTheme="minorHAnsi" w:eastAsia="Times New Roman" w:hAnsiTheme="minorHAnsi"/>
                <w:sz w:val="20"/>
                <w:szCs w:val="20"/>
              </w:rPr>
            </w:pPr>
          </w:p>
        </w:tc>
        <w:tc>
          <w:tcPr>
            <w:tcW w:w="987" w:type="pct"/>
            <w:tcBorders>
              <w:top w:val="nil"/>
              <w:left w:val="nil"/>
              <w:bottom w:val="nil"/>
              <w:right w:val="single" w:sz="8" w:space="0" w:color="auto"/>
            </w:tcBorders>
            <w:shd w:val="clear" w:color="auto" w:fill="auto"/>
            <w:noWrap/>
            <w:vAlign w:val="bottom"/>
            <w:hideMark/>
          </w:tcPr>
          <w:p w14:paraId="4B38C566" w14:textId="77777777" w:rsidR="005E267D" w:rsidRPr="008E1307" w:rsidRDefault="005E267D" w:rsidP="005E267D">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r>
      <w:tr w:rsidR="005E267D" w:rsidRPr="008E1307" w14:paraId="14C4097C" w14:textId="77777777" w:rsidTr="005E267D">
        <w:trPr>
          <w:trHeight w:val="313"/>
        </w:trPr>
        <w:tc>
          <w:tcPr>
            <w:tcW w:w="2072" w:type="pct"/>
            <w:tcBorders>
              <w:top w:val="single" w:sz="4" w:space="0" w:color="auto"/>
              <w:left w:val="single" w:sz="8" w:space="0" w:color="auto"/>
              <w:bottom w:val="nil"/>
              <w:right w:val="nil"/>
            </w:tcBorders>
            <w:shd w:val="clear" w:color="auto" w:fill="auto"/>
            <w:noWrap/>
            <w:vAlign w:val="bottom"/>
            <w:hideMark/>
          </w:tcPr>
          <w:p w14:paraId="13D93C7D" w14:textId="77777777" w:rsidR="005E267D" w:rsidRPr="008E1307" w:rsidRDefault="005E267D"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Chronic Condition***</w:t>
            </w:r>
          </w:p>
        </w:tc>
        <w:tc>
          <w:tcPr>
            <w:tcW w:w="955" w:type="pct"/>
            <w:tcBorders>
              <w:top w:val="nil"/>
              <w:left w:val="nil"/>
              <w:bottom w:val="nil"/>
              <w:right w:val="nil"/>
            </w:tcBorders>
            <w:shd w:val="clear" w:color="auto" w:fill="auto"/>
            <w:noWrap/>
            <w:vAlign w:val="bottom"/>
            <w:hideMark/>
          </w:tcPr>
          <w:p w14:paraId="0FF24C6C"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86" w:type="pct"/>
            <w:tcBorders>
              <w:top w:val="nil"/>
              <w:left w:val="nil"/>
              <w:bottom w:val="nil"/>
              <w:right w:val="nil"/>
            </w:tcBorders>
            <w:shd w:val="clear" w:color="auto" w:fill="auto"/>
            <w:noWrap/>
            <w:vAlign w:val="bottom"/>
            <w:hideMark/>
          </w:tcPr>
          <w:p w14:paraId="5D6A89DF" w14:textId="77777777" w:rsidR="005E267D" w:rsidRPr="008E1307" w:rsidRDefault="005E267D" w:rsidP="005E267D">
            <w:pPr>
              <w:spacing w:after="0"/>
              <w:jc w:val="center"/>
              <w:rPr>
                <w:rFonts w:asciiTheme="minorHAnsi" w:eastAsia="Times New Roman" w:hAnsiTheme="minorHAnsi"/>
                <w:sz w:val="20"/>
                <w:szCs w:val="20"/>
              </w:rPr>
            </w:pPr>
          </w:p>
        </w:tc>
        <w:tc>
          <w:tcPr>
            <w:tcW w:w="987" w:type="pct"/>
            <w:tcBorders>
              <w:top w:val="nil"/>
              <w:left w:val="nil"/>
              <w:bottom w:val="nil"/>
              <w:right w:val="single" w:sz="8" w:space="0" w:color="auto"/>
            </w:tcBorders>
            <w:shd w:val="clear" w:color="auto" w:fill="auto"/>
            <w:noWrap/>
            <w:vAlign w:val="bottom"/>
            <w:hideMark/>
          </w:tcPr>
          <w:p w14:paraId="5B382A85" w14:textId="77777777" w:rsidR="005E267D" w:rsidRPr="008E1307" w:rsidRDefault="005E267D" w:rsidP="005E267D">
            <w:pPr>
              <w:spacing w:after="0"/>
              <w:jc w:val="center"/>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r>
      <w:tr w:rsidR="005E267D" w:rsidRPr="008E1307" w14:paraId="11E661E2"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3FAC935E"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Arthritis</w:t>
            </w:r>
          </w:p>
        </w:tc>
        <w:tc>
          <w:tcPr>
            <w:tcW w:w="955" w:type="pct"/>
            <w:tcBorders>
              <w:top w:val="nil"/>
              <w:left w:val="nil"/>
              <w:bottom w:val="nil"/>
              <w:right w:val="nil"/>
            </w:tcBorders>
            <w:shd w:val="clear" w:color="auto" w:fill="auto"/>
            <w:noWrap/>
            <w:vAlign w:val="center"/>
            <w:hideMark/>
          </w:tcPr>
          <w:p w14:paraId="5A9E5543"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12.9</w:t>
            </w:r>
          </w:p>
        </w:tc>
        <w:tc>
          <w:tcPr>
            <w:tcW w:w="986" w:type="pct"/>
            <w:tcBorders>
              <w:top w:val="nil"/>
              <w:left w:val="nil"/>
              <w:bottom w:val="nil"/>
              <w:right w:val="nil"/>
            </w:tcBorders>
            <w:shd w:val="clear" w:color="auto" w:fill="auto"/>
            <w:noWrap/>
            <w:vAlign w:val="center"/>
            <w:hideMark/>
          </w:tcPr>
          <w:p w14:paraId="0739DC8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13.4</w:t>
            </w:r>
          </w:p>
        </w:tc>
        <w:tc>
          <w:tcPr>
            <w:tcW w:w="987" w:type="pct"/>
            <w:tcBorders>
              <w:top w:val="nil"/>
              <w:left w:val="nil"/>
              <w:bottom w:val="nil"/>
              <w:right w:val="single" w:sz="8" w:space="0" w:color="auto"/>
            </w:tcBorders>
            <w:shd w:val="clear" w:color="auto" w:fill="auto"/>
            <w:noWrap/>
            <w:vAlign w:val="center"/>
            <w:hideMark/>
          </w:tcPr>
          <w:p w14:paraId="51CF1F0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47.5</w:t>
            </w:r>
          </w:p>
        </w:tc>
      </w:tr>
      <w:tr w:rsidR="005E267D" w:rsidRPr="008E1307" w14:paraId="35A14C30"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4E45C4C3"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Asthma</w:t>
            </w:r>
          </w:p>
        </w:tc>
        <w:tc>
          <w:tcPr>
            <w:tcW w:w="955" w:type="pct"/>
            <w:tcBorders>
              <w:top w:val="nil"/>
              <w:left w:val="nil"/>
              <w:bottom w:val="nil"/>
              <w:right w:val="nil"/>
            </w:tcBorders>
            <w:shd w:val="clear" w:color="auto" w:fill="auto"/>
            <w:noWrap/>
            <w:vAlign w:val="center"/>
            <w:hideMark/>
          </w:tcPr>
          <w:p w14:paraId="659A466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60.5</w:t>
            </w:r>
          </w:p>
        </w:tc>
        <w:tc>
          <w:tcPr>
            <w:tcW w:w="986" w:type="pct"/>
            <w:tcBorders>
              <w:top w:val="nil"/>
              <w:left w:val="nil"/>
              <w:bottom w:val="nil"/>
              <w:right w:val="nil"/>
            </w:tcBorders>
            <w:shd w:val="clear" w:color="auto" w:fill="auto"/>
            <w:noWrap/>
            <w:vAlign w:val="center"/>
            <w:hideMark/>
          </w:tcPr>
          <w:p w14:paraId="6A8AD366"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59.4</w:t>
            </w:r>
          </w:p>
        </w:tc>
        <w:tc>
          <w:tcPr>
            <w:tcW w:w="987" w:type="pct"/>
            <w:tcBorders>
              <w:top w:val="nil"/>
              <w:left w:val="nil"/>
              <w:bottom w:val="nil"/>
              <w:right w:val="single" w:sz="8" w:space="0" w:color="auto"/>
            </w:tcBorders>
            <w:shd w:val="clear" w:color="auto" w:fill="auto"/>
            <w:noWrap/>
            <w:vAlign w:val="center"/>
            <w:hideMark/>
          </w:tcPr>
          <w:p w14:paraId="6ADCD9E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127.6</w:t>
            </w:r>
          </w:p>
        </w:tc>
      </w:tr>
      <w:tr w:rsidR="005E267D" w:rsidRPr="008E1307" w14:paraId="42BE70AA"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07F4A748"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Atrial Fibrillation</w:t>
            </w:r>
          </w:p>
        </w:tc>
        <w:tc>
          <w:tcPr>
            <w:tcW w:w="955" w:type="pct"/>
            <w:tcBorders>
              <w:top w:val="nil"/>
              <w:left w:val="nil"/>
              <w:bottom w:val="nil"/>
              <w:right w:val="nil"/>
            </w:tcBorders>
            <w:shd w:val="clear" w:color="auto" w:fill="auto"/>
            <w:noWrap/>
            <w:vAlign w:val="center"/>
            <w:hideMark/>
          </w:tcPr>
          <w:p w14:paraId="4FC2207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23.5</w:t>
            </w:r>
          </w:p>
        </w:tc>
        <w:tc>
          <w:tcPr>
            <w:tcW w:w="986" w:type="pct"/>
            <w:tcBorders>
              <w:top w:val="nil"/>
              <w:left w:val="nil"/>
              <w:bottom w:val="nil"/>
              <w:right w:val="nil"/>
            </w:tcBorders>
            <w:shd w:val="clear" w:color="auto" w:fill="auto"/>
            <w:noWrap/>
            <w:vAlign w:val="center"/>
            <w:hideMark/>
          </w:tcPr>
          <w:p w14:paraId="65644E9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23.3</w:t>
            </w:r>
          </w:p>
        </w:tc>
        <w:tc>
          <w:tcPr>
            <w:tcW w:w="987" w:type="pct"/>
            <w:tcBorders>
              <w:top w:val="nil"/>
              <w:left w:val="nil"/>
              <w:bottom w:val="nil"/>
              <w:right w:val="single" w:sz="8" w:space="0" w:color="auto"/>
            </w:tcBorders>
            <w:shd w:val="clear" w:color="auto" w:fill="auto"/>
            <w:noWrap/>
            <w:vAlign w:val="center"/>
            <w:hideMark/>
          </w:tcPr>
          <w:p w14:paraId="5428F7F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77.6</w:t>
            </w:r>
          </w:p>
        </w:tc>
      </w:tr>
      <w:tr w:rsidR="005E267D" w:rsidRPr="008E1307" w14:paraId="48332A59"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1EF4F5BD"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Autism</w:t>
            </w:r>
          </w:p>
        </w:tc>
        <w:tc>
          <w:tcPr>
            <w:tcW w:w="955" w:type="pct"/>
            <w:tcBorders>
              <w:top w:val="nil"/>
              <w:left w:val="nil"/>
              <w:bottom w:val="nil"/>
              <w:right w:val="nil"/>
            </w:tcBorders>
            <w:shd w:val="clear" w:color="auto" w:fill="auto"/>
            <w:noWrap/>
            <w:vAlign w:val="center"/>
            <w:hideMark/>
          </w:tcPr>
          <w:p w14:paraId="36840E2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w:t>
            </w:r>
          </w:p>
        </w:tc>
        <w:tc>
          <w:tcPr>
            <w:tcW w:w="986" w:type="pct"/>
            <w:tcBorders>
              <w:top w:val="nil"/>
              <w:left w:val="nil"/>
              <w:bottom w:val="nil"/>
              <w:right w:val="nil"/>
            </w:tcBorders>
            <w:shd w:val="clear" w:color="auto" w:fill="auto"/>
            <w:noWrap/>
            <w:vAlign w:val="center"/>
            <w:hideMark/>
          </w:tcPr>
          <w:p w14:paraId="0320CF3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27.7</w:t>
            </w:r>
          </w:p>
        </w:tc>
        <w:tc>
          <w:tcPr>
            <w:tcW w:w="987" w:type="pct"/>
            <w:tcBorders>
              <w:top w:val="nil"/>
              <w:left w:val="nil"/>
              <w:bottom w:val="nil"/>
              <w:right w:val="single" w:sz="8" w:space="0" w:color="auto"/>
            </w:tcBorders>
            <w:shd w:val="clear" w:color="auto" w:fill="auto"/>
            <w:noWrap/>
            <w:vAlign w:val="center"/>
            <w:hideMark/>
          </w:tcPr>
          <w:p w14:paraId="1CBAE01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40.2</w:t>
            </w:r>
          </w:p>
        </w:tc>
      </w:tr>
      <w:tr w:rsidR="005E267D" w:rsidRPr="008E1307" w14:paraId="2888DA9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DEC62F5"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Cancer</w:t>
            </w:r>
          </w:p>
        </w:tc>
        <w:tc>
          <w:tcPr>
            <w:tcW w:w="955" w:type="pct"/>
            <w:tcBorders>
              <w:top w:val="nil"/>
              <w:left w:val="nil"/>
              <w:bottom w:val="nil"/>
              <w:right w:val="nil"/>
            </w:tcBorders>
            <w:shd w:val="clear" w:color="auto" w:fill="auto"/>
            <w:noWrap/>
            <w:vAlign w:val="center"/>
            <w:hideMark/>
          </w:tcPr>
          <w:p w14:paraId="209D4DE9"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33.5</w:t>
            </w:r>
          </w:p>
        </w:tc>
        <w:tc>
          <w:tcPr>
            <w:tcW w:w="986" w:type="pct"/>
            <w:tcBorders>
              <w:top w:val="nil"/>
              <w:left w:val="nil"/>
              <w:bottom w:val="nil"/>
              <w:right w:val="nil"/>
            </w:tcBorders>
            <w:shd w:val="clear" w:color="auto" w:fill="auto"/>
            <w:noWrap/>
            <w:vAlign w:val="center"/>
            <w:hideMark/>
          </w:tcPr>
          <w:p w14:paraId="4DC2B5B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36.0</w:t>
            </w:r>
          </w:p>
        </w:tc>
        <w:tc>
          <w:tcPr>
            <w:tcW w:w="987" w:type="pct"/>
            <w:tcBorders>
              <w:top w:val="nil"/>
              <w:left w:val="nil"/>
              <w:bottom w:val="nil"/>
              <w:right w:val="single" w:sz="8" w:space="0" w:color="auto"/>
            </w:tcBorders>
            <w:shd w:val="clear" w:color="auto" w:fill="auto"/>
            <w:noWrap/>
            <w:vAlign w:val="center"/>
            <w:hideMark/>
          </w:tcPr>
          <w:p w14:paraId="41C11D2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68.9</w:t>
            </w:r>
          </w:p>
        </w:tc>
      </w:tr>
      <w:tr w:rsidR="005E267D" w:rsidRPr="008E1307" w14:paraId="6F04BC9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53739F0"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COPD</w:t>
            </w:r>
          </w:p>
        </w:tc>
        <w:tc>
          <w:tcPr>
            <w:tcW w:w="955" w:type="pct"/>
            <w:tcBorders>
              <w:top w:val="nil"/>
              <w:left w:val="nil"/>
              <w:bottom w:val="nil"/>
              <w:right w:val="nil"/>
            </w:tcBorders>
            <w:shd w:val="clear" w:color="auto" w:fill="auto"/>
            <w:noWrap/>
            <w:vAlign w:val="center"/>
            <w:hideMark/>
          </w:tcPr>
          <w:p w14:paraId="52B6668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45.3</w:t>
            </w:r>
          </w:p>
        </w:tc>
        <w:tc>
          <w:tcPr>
            <w:tcW w:w="986" w:type="pct"/>
            <w:tcBorders>
              <w:top w:val="nil"/>
              <w:left w:val="nil"/>
              <w:bottom w:val="nil"/>
              <w:right w:val="nil"/>
            </w:tcBorders>
            <w:shd w:val="clear" w:color="auto" w:fill="auto"/>
            <w:noWrap/>
            <w:vAlign w:val="center"/>
            <w:hideMark/>
          </w:tcPr>
          <w:p w14:paraId="3A89428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45.0</w:t>
            </w:r>
          </w:p>
        </w:tc>
        <w:tc>
          <w:tcPr>
            <w:tcW w:w="987" w:type="pct"/>
            <w:tcBorders>
              <w:top w:val="nil"/>
              <w:left w:val="nil"/>
              <w:bottom w:val="nil"/>
              <w:right w:val="single" w:sz="8" w:space="0" w:color="auto"/>
            </w:tcBorders>
            <w:shd w:val="clear" w:color="auto" w:fill="auto"/>
            <w:noWrap/>
            <w:vAlign w:val="center"/>
            <w:hideMark/>
          </w:tcPr>
          <w:p w14:paraId="3ECA394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93.7</w:t>
            </w:r>
          </w:p>
        </w:tc>
      </w:tr>
      <w:tr w:rsidR="005E267D" w:rsidRPr="008E1307" w14:paraId="703D43F0"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3C33470"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Dementia</w:t>
            </w:r>
          </w:p>
        </w:tc>
        <w:tc>
          <w:tcPr>
            <w:tcW w:w="955" w:type="pct"/>
            <w:tcBorders>
              <w:top w:val="nil"/>
              <w:left w:val="nil"/>
              <w:bottom w:val="nil"/>
              <w:right w:val="nil"/>
            </w:tcBorders>
            <w:shd w:val="clear" w:color="auto" w:fill="auto"/>
            <w:noWrap/>
            <w:vAlign w:val="center"/>
            <w:hideMark/>
          </w:tcPr>
          <w:p w14:paraId="12BF68D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10.8</w:t>
            </w:r>
          </w:p>
        </w:tc>
        <w:tc>
          <w:tcPr>
            <w:tcW w:w="986" w:type="pct"/>
            <w:tcBorders>
              <w:top w:val="nil"/>
              <w:left w:val="nil"/>
              <w:bottom w:val="nil"/>
              <w:right w:val="nil"/>
            </w:tcBorders>
            <w:shd w:val="clear" w:color="auto" w:fill="auto"/>
            <w:noWrap/>
            <w:vAlign w:val="center"/>
            <w:hideMark/>
          </w:tcPr>
          <w:p w14:paraId="54266DE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10.3</w:t>
            </w:r>
          </w:p>
        </w:tc>
        <w:tc>
          <w:tcPr>
            <w:tcW w:w="987" w:type="pct"/>
            <w:tcBorders>
              <w:top w:val="nil"/>
              <w:left w:val="nil"/>
              <w:bottom w:val="nil"/>
              <w:right w:val="single" w:sz="8" w:space="0" w:color="auto"/>
            </w:tcBorders>
            <w:shd w:val="clear" w:color="auto" w:fill="auto"/>
            <w:noWrap/>
            <w:vAlign w:val="center"/>
            <w:hideMark/>
          </w:tcPr>
          <w:p w14:paraId="61540B2A"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44.0</w:t>
            </w:r>
          </w:p>
        </w:tc>
      </w:tr>
      <w:tr w:rsidR="005E267D" w:rsidRPr="008E1307" w14:paraId="31CE897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9644DCA"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Depression</w:t>
            </w:r>
          </w:p>
        </w:tc>
        <w:tc>
          <w:tcPr>
            <w:tcW w:w="955" w:type="pct"/>
            <w:tcBorders>
              <w:top w:val="nil"/>
              <w:left w:val="nil"/>
              <w:bottom w:val="nil"/>
              <w:right w:val="nil"/>
            </w:tcBorders>
            <w:shd w:val="clear" w:color="auto" w:fill="auto"/>
            <w:noWrap/>
            <w:vAlign w:val="center"/>
            <w:hideMark/>
          </w:tcPr>
          <w:p w14:paraId="1809251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40.5</w:t>
            </w:r>
          </w:p>
        </w:tc>
        <w:tc>
          <w:tcPr>
            <w:tcW w:w="986" w:type="pct"/>
            <w:tcBorders>
              <w:top w:val="nil"/>
              <w:left w:val="nil"/>
              <w:bottom w:val="nil"/>
              <w:right w:val="nil"/>
            </w:tcBorders>
            <w:shd w:val="clear" w:color="auto" w:fill="auto"/>
            <w:noWrap/>
            <w:vAlign w:val="center"/>
            <w:hideMark/>
          </w:tcPr>
          <w:p w14:paraId="31E17E36"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42.7</w:t>
            </w:r>
          </w:p>
        </w:tc>
        <w:tc>
          <w:tcPr>
            <w:tcW w:w="987" w:type="pct"/>
            <w:tcBorders>
              <w:top w:val="nil"/>
              <w:left w:val="nil"/>
              <w:bottom w:val="nil"/>
              <w:right w:val="single" w:sz="8" w:space="0" w:color="auto"/>
            </w:tcBorders>
            <w:shd w:val="clear" w:color="auto" w:fill="auto"/>
            <w:noWrap/>
            <w:vAlign w:val="center"/>
            <w:hideMark/>
          </w:tcPr>
          <w:p w14:paraId="32B3ABB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86.0</w:t>
            </w:r>
          </w:p>
        </w:tc>
      </w:tr>
      <w:tr w:rsidR="005E267D" w:rsidRPr="008E1307" w14:paraId="347E2A6C"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5B7D07E7"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Diabetes</w:t>
            </w:r>
          </w:p>
        </w:tc>
        <w:tc>
          <w:tcPr>
            <w:tcW w:w="955" w:type="pct"/>
            <w:tcBorders>
              <w:top w:val="nil"/>
              <w:left w:val="nil"/>
              <w:bottom w:val="nil"/>
              <w:right w:val="nil"/>
            </w:tcBorders>
            <w:shd w:val="clear" w:color="auto" w:fill="auto"/>
            <w:noWrap/>
            <w:vAlign w:val="center"/>
            <w:hideMark/>
          </w:tcPr>
          <w:p w14:paraId="66A5090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27.2</w:t>
            </w:r>
          </w:p>
        </w:tc>
        <w:tc>
          <w:tcPr>
            <w:tcW w:w="986" w:type="pct"/>
            <w:tcBorders>
              <w:top w:val="nil"/>
              <w:left w:val="nil"/>
              <w:bottom w:val="nil"/>
              <w:right w:val="nil"/>
            </w:tcBorders>
            <w:shd w:val="clear" w:color="auto" w:fill="auto"/>
            <w:noWrap/>
            <w:vAlign w:val="center"/>
            <w:hideMark/>
          </w:tcPr>
          <w:p w14:paraId="6459134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24.9</w:t>
            </w:r>
          </w:p>
        </w:tc>
        <w:tc>
          <w:tcPr>
            <w:tcW w:w="987" w:type="pct"/>
            <w:tcBorders>
              <w:top w:val="nil"/>
              <w:left w:val="nil"/>
              <w:bottom w:val="nil"/>
              <w:right w:val="single" w:sz="8" w:space="0" w:color="auto"/>
            </w:tcBorders>
            <w:shd w:val="clear" w:color="auto" w:fill="auto"/>
            <w:noWrap/>
            <w:vAlign w:val="center"/>
            <w:hideMark/>
          </w:tcPr>
          <w:p w14:paraId="4845B00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69.9</w:t>
            </w:r>
          </w:p>
        </w:tc>
      </w:tr>
      <w:tr w:rsidR="005E267D" w:rsidRPr="008E1307" w14:paraId="28157752"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72E4813"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Heart Failure</w:t>
            </w:r>
          </w:p>
        </w:tc>
        <w:tc>
          <w:tcPr>
            <w:tcW w:w="955" w:type="pct"/>
            <w:tcBorders>
              <w:top w:val="nil"/>
              <w:left w:val="nil"/>
              <w:bottom w:val="nil"/>
              <w:right w:val="nil"/>
            </w:tcBorders>
            <w:shd w:val="clear" w:color="auto" w:fill="auto"/>
            <w:noWrap/>
            <w:vAlign w:val="center"/>
            <w:hideMark/>
          </w:tcPr>
          <w:p w14:paraId="758FEEB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41.6</w:t>
            </w:r>
          </w:p>
        </w:tc>
        <w:tc>
          <w:tcPr>
            <w:tcW w:w="986" w:type="pct"/>
            <w:tcBorders>
              <w:top w:val="nil"/>
              <w:left w:val="nil"/>
              <w:bottom w:val="nil"/>
              <w:right w:val="nil"/>
            </w:tcBorders>
            <w:shd w:val="clear" w:color="auto" w:fill="auto"/>
            <w:noWrap/>
            <w:vAlign w:val="center"/>
            <w:hideMark/>
          </w:tcPr>
          <w:p w14:paraId="2DC6FA2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42.6</w:t>
            </w:r>
          </w:p>
        </w:tc>
        <w:tc>
          <w:tcPr>
            <w:tcW w:w="987" w:type="pct"/>
            <w:tcBorders>
              <w:top w:val="nil"/>
              <w:left w:val="nil"/>
              <w:bottom w:val="nil"/>
              <w:right w:val="single" w:sz="8" w:space="0" w:color="auto"/>
            </w:tcBorders>
            <w:shd w:val="clear" w:color="auto" w:fill="auto"/>
            <w:noWrap/>
            <w:vAlign w:val="center"/>
            <w:hideMark/>
          </w:tcPr>
          <w:p w14:paraId="457802E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156.2</w:t>
            </w:r>
          </w:p>
        </w:tc>
      </w:tr>
      <w:tr w:rsidR="005E267D" w:rsidRPr="008E1307" w14:paraId="301A1218"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5A8F5F3A"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Hepatitis</w:t>
            </w:r>
          </w:p>
        </w:tc>
        <w:tc>
          <w:tcPr>
            <w:tcW w:w="955" w:type="pct"/>
            <w:tcBorders>
              <w:top w:val="nil"/>
              <w:left w:val="nil"/>
              <w:bottom w:val="nil"/>
              <w:right w:val="nil"/>
            </w:tcBorders>
            <w:shd w:val="clear" w:color="auto" w:fill="auto"/>
            <w:noWrap/>
            <w:vAlign w:val="center"/>
            <w:hideMark/>
          </w:tcPr>
          <w:p w14:paraId="4945172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16.6</w:t>
            </w:r>
          </w:p>
        </w:tc>
        <w:tc>
          <w:tcPr>
            <w:tcW w:w="986" w:type="pct"/>
            <w:tcBorders>
              <w:top w:val="nil"/>
              <w:left w:val="nil"/>
              <w:bottom w:val="nil"/>
              <w:right w:val="nil"/>
            </w:tcBorders>
            <w:shd w:val="clear" w:color="auto" w:fill="auto"/>
            <w:noWrap/>
            <w:vAlign w:val="center"/>
            <w:hideMark/>
          </w:tcPr>
          <w:p w14:paraId="7A95056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16.7</w:t>
            </w:r>
          </w:p>
        </w:tc>
        <w:tc>
          <w:tcPr>
            <w:tcW w:w="987" w:type="pct"/>
            <w:tcBorders>
              <w:top w:val="nil"/>
              <w:left w:val="nil"/>
              <w:bottom w:val="nil"/>
              <w:right w:val="single" w:sz="8" w:space="0" w:color="auto"/>
            </w:tcBorders>
            <w:shd w:val="clear" w:color="auto" w:fill="auto"/>
            <w:noWrap/>
            <w:vAlign w:val="center"/>
            <w:hideMark/>
          </w:tcPr>
          <w:p w14:paraId="41FD5E5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37.9</w:t>
            </w:r>
          </w:p>
        </w:tc>
      </w:tr>
      <w:tr w:rsidR="005E267D" w:rsidRPr="008E1307" w14:paraId="761EEEF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334E34E"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HIV AIDS</w:t>
            </w:r>
          </w:p>
        </w:tc>
        <w:tc>
          <w:tcPr>
            <w:tcW w:w="955" w:type="pct"/>
            <w:tcBorders>
              <w:top w:val="nil"/>
              <w:left w:val="nil"/>
              <w:bottom w:val="nil"/>
              <w:right w:val="nil"/>
            </w:tcBorders>
            <w:shd w:val="clear" w:color="auto" w:fill="auto"/>
            <w:noWrap/>
            <w:vAlign w:val="center"/>
            <w:hideMark/>
          </w:tcPr>
          <w:p w14:paraId="4F01173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9.7</w:t>
            </w:r>
          </w:p>
        </w:tc>
        <w:tc>
          <w:tcPr>
            <w:tcW w:w="986" w:type="pct"/>
            <w:tcBorders>
              <w:top w:val="nil"/>
              <w:left w:val="nil"/>
              <w:bottom w:val="nil"/>
              <w:right w:val="nil"/>
            </w:tcBorders>
            <w:shd w:val="clear" w:color="auto" w:fill="auto"/>
            <w:noWrap/>
            <w:vAlign w:val="center"/>
            <w:hideMark/>
          </w:tcPr>
          <w:p w14:paraId="77E4071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8.8</w:t>
            </w:r>
          </w:p>
        </w:tc>
        <w:tc>
          <w:tcPr>
            <w:tcW w:w="987" w:type="pct"/>
            <w:tcBorders>
              <w:top w:val="nil"/>
              <w:left w:val="nil"/>
              <w:bottom w:val="nil"/>
              <w:right w:val="single" w:sz="8" w:space="0" w:color="auto"/>
            </w:tcBorders>
            <w:shd w:val="clear" w:color="auto" w:fill="auto"/>
            <w:noWrap/>
            <w:vAlign w:val="center"/>
            <w:hideMark/>
          </w:tcPr>
          <w:p w14:paraId="01F02DF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28.2</w:t>
            </w:r>
          </w:p>
        </w:tc>
      </w:tr>
      <w:tr w:rsidR="005E267D" w:rsidRPr="008E1307" w14:paraId="0FDF8DAA"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1BC30621"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Hyperlipidemia</w:t>
            </w:r>
          </w:p>
        </w:tc>
        <w:tc>
          <w:tcPr>
            <w:tcW w:w="955" w:type="pct"/>
            <w:tcBorders>
              <w:top w:val="nil"/>
              <w:left w:val="nil"/>
              <w:bottom w:val="nil"/>
              <w:right w:val="nil"/>
            </w:tcBorders>
            <w:shd w:val="clear" w:color="auto" w:fill="auto"/>
            <w:noWrap/>
            <w:vAlign w:val="center"/>
            <w:hideMark/>
          </w:tcPr>
          <w:p w14:paraId="23CEDC9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50.5</w:t>
            </w:r>
          </w:p>
        </w:tc>
        <w:tc>
          <w:tcPr>
            <w:tcW w:w="986" w:type="pct"/>
            <w:tcBorders>
              <w:top w:val="nil"/>
              <w:left w:val="nil"/>
              <w:bottom w:val="nil"/>
              <w:right w:val="nil"/>
            </w:tcBorders>
            <w:shd w:val="clear" w:color="auto" w:fill="auto"/>
            <w:noWrap/>
            <w:vAlign w:val="center"/>
            <w:hideMark/>
          </w:tcPr>
          <w:p w14:paraId="51F1FE2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51.6</w:t>
            </w:r>
          </w:p>
        </w:tc>
        <w:tc>
          <w:tcPr>
            <w:tcW w:w="987" w:type="pct"/>
            <w:tcBorders>
              <w:top w:val="nil"/>
              <w:left w:val="nil"/>
              <w:bottom w:val="nil"/>
              <w:right w:val="single" w:sz="8" w:space="0" w:color="auto"/>
            </w:tcBorders>
            <w:shd w:val="clear" w:color="auto" w:fill="auto"/>
            <w:noWrap/>
            <w:vAlign w:val="center"/>
            <w:hideMark/>
          </w:tcPr>
          <w:p w14:paraId="4BAEE6F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115.9</w:t>
            </w:r>
          </w:p>
        </w:tc>
      </w:tr>
      <w:tr w:rsidR="005E267D" w:rsidRPr="008E1307" w14:paraId="7F2EAD98"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0E4A76DF"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Hypertension</w:t>
            </w:r>
          </w:p>
        </w:tc>
        <w:tc>
          <w:tcPr>
            <w:tcW w:w="955" w:type="pct"/>
            <w:tcBorders>
              <w:top w:val="nil"/>
              <w:left w:val="nil"/>
              <w:bottom w:val="nil"/>
              <w:right w:val="nil"/>
            </w:tcBorders>
            <w:shd w:val="clear" w:color="auto" w:fill="auto"/>
            <w:noWrap/>
            <w:vAlign w:val="center"/>
            <w:hideMark/>
          </w:tcPr>
          <w:p w14:paraId="59BF00C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53.6</w:t>
            </w:r>
          </w:p>
        </w:tc>
        <w:tc>
          <w:tcPr>
            <w:tcW w:w="986" w:type="pct"/>
            <w:tcBorders>
              <w:top w:val="nil"/>
              <w:left w:val="nil"/>
              <w:bottom w:val="nil"/>
              <w:right w:val="nil"/>
            </w:tcBorders>
            <w:shd w:val="clear" w:color="auto" w:fill="auto"/>
            <w:noWrap/>
            <w:vAlign w:val="center"/>
            <w:hideMark/>
          </w:tcPr>
          <w:p w14:paraId="0F8CF1B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55.4</w:t>
            </w:r>
          </w:p>
        </w:tc>
        <w:tc>
          <w:tcPr>
            <w:tcW w:w="987" w:type="pct"/>
            <w:tcBorders>
              <w:top w:val="nil"/>
              <w:left w:val="nil"/>
              <w:bottom w:val="nil"/>
              <w:right w:val="single" w:sz="8" w:space="0" w:color="auto"/>
            </w:tcBorders>
            <w:shd w:val="clear" w:color="auto" w:fill="auto"/>
            <w:noWrap/>
            <w:vAlign w:val="center"/>
            <w:hideMark/>
          </w:tcPr>
          <w:p w14:paraId="2D21A7CA"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119.4</w:t>
            </w:r>
          </w:p>
        </w:tc>
      </w:tr>
      <w:tr w:rsidR="005E267D" w:rsidRPr="008E1307" w14:paraId="5B55318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3CC6AFC8"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Ischemic Heart Disease</w:t>
            </w:r>
          </w:p>
        </w:tc>
        <w:tc>
          <w:tcPr>
            <w:tcW w:w="955" w:type="pct"/>
            <w:tcBorders>
              <w:top w:val="nil"/>
              <w:left w:val="nil"/>
              <w:bottom w:val="nil"/>
              <w:right w:val="nil"/>
            </w:tcBorders>
            <w:shd w:val="clear" w:color="auto" w:fill="auto"/>
            <w:noWrap/>
            <w:vAlign w:val="center"/>
            <w:hideMark/>
          </w:tcPr>
          <w:p w14:paraId="2D526665"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41.5</w:t>
            </w:r>
          </w:p>
        </w:tc>
        <w:tc>
          <w:tcPr>
            <w:tcW w:w="986" w:type="pct"/>
            <w:tcBorders>
              <w:top w:val="nil"/>
              <w:left w:val="nil"/>
              <w:bottom w:val="nil"/>
              <w:right w:val="nil"/>
            </w:tcBorders>
            <w:shd w:val="clear" w:color="auto" w:fill="auto"/>
            <w:noWrap/>
            <w:vAlign w:val="center"/>
            <w:hideMark/>
          </w:tcPr>
          <w:p w14:paraId="4D2F094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43.3</w:t>
            </w:r>
          </w:p>
        </w:tc>
        <w:tc>
          <w:tcPr>
            <w:tcW w:w="987" w:type="pct"/>
            <w:tcBorders>
              <w:top w:val="nil"/>
              <w:left w:val="nil"/>
              <w:bottom w:val="nil"/>
              <w:right w:val="single" w:sz="8" w:space="0" w:color="auto"/>
            </w:tcBorders>
            <w:shd w:val="clear" w:color="auto" w:fill="auto"/>
            <w:noWrap/>
            <w:vAlign w:val="center"/>
            <w:hideMark/>
          </w:tcPr>
          <w:p w14:paraId="2082F74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119.6</w:t>
            </w:r>
          </w:p>
        </w:tc>
      </w:tr>
      <w:tr w:rsidR="005E267D" w:rsidRPr="008E1307" w14:paraId="1F913A86"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E595CCF"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Kidney Disease</w:t>
            </w:r>
          </w:p>
        </w:tc>
        <w:tc>
          <w:tcPr>
            <w:tcW w:w="955" w:type="pct"/>
            <w:tcBorders>
              <w:top w:val="nil"/>
              <w:left w:val="nil"/>
              <w:bottom w:val="nil"/>
              <w:right w:val="nil"/>
            </w:tcBorders>
            <w:shd w:val="clear" w:color="auto" w:fill="auto"/>
            <w:noWrap/>
            <w:vAlign w:val="center"/>
            <w:hideMark/>
          </w:tcPr>
          <w:p w14:paraId="754A527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23.1</w:t>
            </w:r>
          </w:p>
        </w:tc>
        <w:tc>
          <w:tcPr>
            <w:tcW w:w="986" w:type="pct"/>
            <w:tcBorders>
              <w:top w:val="nil"/>
              <w:left w:val="nil"/>
              <w:bottom w:val="nil"/>
              <w:right w:val="nil"/>
            </w:tcBorders>
            <w:shd w:val="clear" w:color="auto" w:fill="auto"/>
            <w:noWrap/>
            <w:vAlign w:val="center"/>
            <w:hideMark/>
          </w:tcPr>
          <w:p w14:paraId="3F4A23A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24.3</w:t>
            </w:r>
          </w:p>
        </w:tc>
        <w:tc>
          <w:tcPr>
            <w:tcW w:w="987" w:type="pct"/>
            <w:tcBorders>
              <w:top w:val="nil"/>
              <w:left w:val="nil"/>
              <w:bottom w:val="nil"/>
              <w:right w:val="single" w:sz="8" w:space="0" w:color="auto"/>
            </w:tcBorders>
            <w:shd w:val="clear" w:color="auto" w:fill="auto"/>
            <w:noWrap/>
            <w:vAlign w:val="center"/>
            <w:hideMark/>
          </w:tcPr>
          <w:p w14:paraId="1A468CB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66.6</w:t>
            </w:r>
          </w:p>
        </w:tc>
      </w:tr>
      <w:tr w:rsidR="005E267D" w:rsidRPr="008E1307" w14:paraId="2AAF5DB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17EEBB1"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Osteoporosis</w:t>
            </w:r>
          </w:p>
        </w:tc>
        <w:tc>
          <w:tcPr>
            <w:tcW w:w="955" w:type="pct"/>
            <w:tcBorders>
              <w:top w:val="nil"/>
              <w:left w:val="nil"/>
              <w:bottom w:val="nil"/>
              <w:right w:val="nil"/>
            </w:tcBorders>
            <w:shd w:val="clear" w:color="auto" w:fill="auto"/>
            <w:noWrap/>
            <w:vAlign w:val="center"/>
            <w:hideMark/>
          </w:tcPr>
          <w:p w14:paraId="1D24A3F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24.5</w:t>
            </w:r>
          </w:p>
        </w:tc>
        <w:tc>
          <w:tcPr>
            <w:tcW w:w="986" w:type="pct"/>
            <w:tcBorders>
              <w:top w:val="nil"/>
              <w:left w:val="nil"/>
              <w:bottom w:val="nil"/>
              <w:right w:val="nil"/>
            </w:tcBorders>
            <w:shd w:val="clear" w:color="auto" w:fill="auto"/>
            <w:noWrap/>
            <w:vAlign w:val="center"/>
            <w:hideMark/>
          </w:tcPr>
          <w:p w14:paraId="21B228B3"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25.3</w:t>
            </w:r>
          </w:p>
        </w:tc>
        <w:tc>
          <w:tcPr>
            <w:tcW w:w="987" w:type="pct"/>
            <w:tcBorders>
              <w:top w:val="nil"/>
              <w:left w:val="nil"/>
              <w:bottom w:val="nil"/>
              <w:right w:val="single" w:sz="8" w:space="0" w:color="auto"/>
            </w:tcBorders>
            <w:shd w:val="clear" w:color="auto" w:fill="auto"/>
            <w:noWrap/>
            <w:vAlign w:val="center"/>
            <w:hideMark/>
          </w:tcPr>
          <w:p w14:paraId="4AD00DD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54.2</w:t>
            </w:r>
          </w:p>
        </w:tc>
      </w:tr>
      <w:tr w:rsidR="005E267D" w:rsidRPr="008E1307" w14:paraId="07378175"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4AA7425"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Schizophrenia</w:t>
            </w:r>
          </w:p>
        </w:tc>
        <w:tc>
          <w:tcPr>
            <w:tcW w:w="955" w:type="pct"/>
            <w:tcBorders>
              <w:top w:val="nil"/>
              <w:left w:val="nil"/>
              <w:bottom w:val="nil"/>
              <w:right w:val="nil"/>
            </w:tcBorders>
            <w:shd w:val="clear" w:color="auto" w:fill="auto"/>
            <w:noWrap/>
            <w:vAlign w:val="center"/>
            <w:hideMark/>
          </w:tcPr>
          <w:p w14:paraId="3A367A4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w:t>
            </w:r>
          </w:p>
        </w:tc>
        <w:tc>
          <w:tcPr>
            <w:tcW w:w="986" w:type="pct"/>
            <w:tcBorders>
              <w:top w:val="nil"/>
              <w:left w:val="nil"/>
              <w:bottom w:val="nil"/>
              <w:right w:val="nil"/>
            </w:tcBorders>
            <w:shd w:val="clear" w:color="auto" w:fill="auto"/>
            <w:noWrap/>
            <w:vAlign w:val="center"/>
            <w:hideMark/>
          </w:tcPr>
          <w:p w14:paraId="56FE7AB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8.6</w:t>
            </w:r>
          </w:p>
        </w:tc>
        <w:tc>
          <w:tcPr>
            <w:tcW w:w="987" w:type="pct"/>
            <w:tcBorders>
              <w:top w:val="nil"/>
              <w:left w:val="nil"/>
              <w:bottom w:val="nil"/>
              <w:right w:val="single" w:sz="8" w:space="0" w:color="auto"/>
            </w:tcBorders>
            <w:shd w:val="clear" w:color="auto" w:fill="auto"/>
            <w:noWrap/>
            <w:vAlign w:val="center"/>
            <w:hideMark/>
          </w:tcPr>
          <w:p w14:paraId="7BB5C445"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36.1</w:t>
            </w:r>
          </w:p>
        </w:tc>
      </w:tr>
      <w:tr w:rsidR="005E267D" w:rsidRPr="008E1307" w14:paraId="542D26EC"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76E18AD"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Stroke</w:t>
            </w:r>
          </w:p>
        </w:tc>
        <w:tc>
          <w:tcPr>
            <w:tcW w:w="955" w:type="pct"/>
            <w:tcBorders>
              <w:top w:val="nil"/>
              <w:left w:val="nil"/>
              <w:bottom w:val="nil"/>
              <w:right w:val="nil"/>
            </w:tcBorders>
            <w:shd w:val="clear" w:color="auto" w:fill="auto"/>
            <w:noWrap/>
            <w:vAlign w:val="center"/>
            <w:hideMark/>
          </w:tcPr>
          <w:p w14:paraId="55B5A75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34.4</w:t>
            </w:r>
          </w:p>
        </w:tc>
        <w:tc>
          <w:tcPr>
            <w:tcW w:w="986" w:type="pct"/>
            <w:tcBorders>
              <w:top w:val="nil"/>
              <w:left w:val="nil"/>
              <w:bottom w:val="nil"/>
              <w:right w:val="nil"/>
            </w:tcBorders>
            <w:shd w:val="clear" w:color="auto" w:fill="auto"/>
            <w:noWrap/>
            <w:vAlign w:val="center"/>
            <w:hideMark/>
          </w:tcPr>
          <w:p w14:paraId="34E2D189"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35.1</w:t>
            </w:r>
          </w:p>
        </w:tc>
        <w:tc>
          <w:tcPr>
            <w:tcW w:w="987" w:type="pct"/>
            <w:tcBorders>
              <w:top w:val="nil"/>
              <w:left w:val="nil"/>
              <w:bottom w:val="nil"/>
              <w:right w:val="single" w:sz="8" w:space="0" w:color="auto"/>
            </w:tcBorders>
            <w:shd w:val="clear" w:color="auto" w:fill="auto"/>
            <w:noWrap/>
            <w:vAlign w:val="center"/>
            <w:hideMark/>
          </w:tcPr>
          <w:p w14:paraId="7C8D4F6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110.9</w:t>
            </w:r>
          </w:p>
        </w:tc>
      </w:tr>
      <w:tr w:rsidR="005E267D" w:rsidRPr="008E1307" w14:paraId="6937F6BF" w14:textId="77777777" w:rsidTr="005E267D">
        <w:trPr>
          <w:trHeight w:val="1412"/>
        </w:trPr>
        <w:tc>
          <w:tcPr>
            <w:tcW w:w="5000" w:type="pct"/>
            <w:gridSpan w:val="4"/>
            <w:tcBorders>
              <w:top w:val="nil"/>
              <w:left w:val="single" w:sz="8" w:space="0" w:color="auto"/>
              <w:bottom w:val="single" w:sz="8" w:space="0" w:color="auto"/>
              <w:right w:val="single" w:sz="8" w:space="0" w:color="000000"/>
            </w:tcBorders>
            <w:shd w:val="clear" w:color="auto" w:fill="auto"/>
            <w:hideMark/>
          </w:tcPr>
          <w:p w14:paraId="45B96714" w14:textId="77777777" w:rsidR="00CA78FE" w:rsidRPr="008E1307" w:rsidRDefault="00CA78FE" w:rsidP="005E267D">
            <w:pPr>
              <w:spacing w:after="0"/>
              <w:rPr>
                <w:rFonts w:asciiTheme="minorHAnsi" w:eastAsia="Times New Roman" w:hAnsiTheme="minorHAnsi" w:cs="Calibri"/>
                <w:b/>
                <w:bCs/>
                <w:color w:val="000000"/>
                <w:sz w:val="20"/>
                <w:szCs w:val="20"/>
              </w:rPr>
            </w:pPr>
          </w:p>
          <w:p w14:paraId="40C2A735" w14:textId="77777777" w:rsidR="00CA78FE" w:rsidRPr="008E1307" w:rsidRDefault="00CA78FE" w:rsidP="005E267D">
            <w:pPr>
              <w:spacing w:after="0"/>
              <w:rPr>
                <w:rFonts w:asciiTheme="minorHAnsi" w:eastAsia="Times New Roman" w:hAnsiTheme="minorHAnsi" w:cs="Calibri"/>
                <w:b/>
                <w:bCs/>
                <w:color w:val="000000"/>
                <w:sz w:val="20"/>
                <w:szCs w:val="20"/>
              </w:rPr>
            </w:pPr>
          </w:p>
          <w:p w14:paraId="633AFE3B" w14:textId="4FC9ABA2" w:rsidR="005E267D" w:rsidRPr="008E1307" w:rsidRDefault="005E267D" w:rsidP="005E267D">
            <w:pPr>
              <w:spacing w:after="0"/>
              <w:rPr>
                <w:rFonts w:asciiTheme="minorHAnsi" w:eastAsia="Times New Roman" w:hAnsiTheme="minorHAnsi" w:cs="Calibri"/>
                <w:b/>
                <w:bCs/>
                <w:color w:val="000000"/>
                <w:sz w:val="20"/>
                <w:szCs w:val="20"/>
              </w:rPr>
            </w:pPr>
            <w:r w:rsidRPr="008E1307">
              <w:rPr>
                <w:rFonts w:asciiTheme="minorHAnsi" w:eastAsia="Times New Roman" w:hAnsiTheme="minorHAnsi" w:cs="Calibri"/>
                <w:b/>
                <w:bCs/>
                <w:color w:val="000000"/>
                <w:sz w:val="20"/>
                <w:szCs w:val="20"/>
              </w:rPr>
              <w:t>*Population is represented as counts, not rates</w:t>
            </w:r>
            <w:r w:rsidRPr="008E1307">
              <w:rPr>
                <w:rFonts w:asciiTheme="minorHAnsi" w:eastAsia="Times New Roman" w:hAnsiTheme="minorHAnsi" w:cs="Calibri"/>
                <w:b/>
                <w:bCs/>
                <w:color w:val="000000"/>
                <w:sz w:val="20"/>
                <w:szCs w:val="20"/>
              </w:rPr>
              <w:br/>
              <w:t>**Age ranges are determined by Florida Department of Health methods for Age Adjusted Mortality Rates</w:t>
            </w:r>
            <w:r w:rsidR="00501F70" w:rsidRPr="008E1307">
              <w:rPr>
                <w:rFonts w:asciiTheme="minorHAnsi" w:eastAsia="Times New Roman" w:hAnsiTheme="minorHAnsi" w:cs="Calibri"/>
                <w:b/>
                <w:bCs/>
                <w:color w:val="000000"/>
                <w:sz w:val="20"/>
                <w:szCs w:val="20"/>
              </w:rPr>
              <w:t xml:space="preserve"> and Areas are defined by Counties Duval, Saint Johns, and </w:t>
            </w:r>
            <w:r w:rsidR="004A2F84" w:rsidRPr="008E1307">
              <w:rPr>
                <w:rFonts w:asciiTheme="minorHAnsi" w:eastAsia="Times New Roman" w:hAnsiTheme="minorHAnsi" w:cs="Calibri"/>
                <w:b/>
                <w:bCs/>
                <w:color w:val="000000"/>
                <w:sz w:val="20"/>
                <w:szCs w:val="20"/>
              </w:rPr>
              <w:t>Clay</w:t>
            </w:r>
            <w:r w:rsidRPr="008E1307">
              <w:rPr>
                <w:rFonts w:asciiTheme="minorHAnsi" w:eastAsia="Times New Roman" w:hAnsiTheme="minorHAnsi" w:cs="Calibri"/>
                <w:b/>
                <w:bCs/>
                <w:color w:val="000000"/>
                <w:sz w:val="20"/>
                <w:szCs w:val="20"/>
              </w:rPr>
              <w:br/>
              <w:t xml:space="preserve">***Rates are calculated per 1000 beneficiaries rounded to 1 decimal place </w:t>
            </w:r>
          </w:p>
        </w:tc>
      </w:tr>
    </w:tbl>
    <w:p w14:paraId="1758A719" w14:textId="77777777" w:rsidR="00010476" w:rsidRPr="008E1307" w:rsidRDefault="00010476" w:rsidP="00CA78FE">
      <w:pPr>
        <w:spacing w:after="0"/>
        <w:jc w:val="center"/>
        <w:rPr>
          <w:rFonts w:asciiTheme="minorHAnsi" w:hAnsiTheme="minorHAnsi"/>
          <w:sz w:val="20"/>
          <w:szCs w:val="20"/>
        </w:rPr>
      </w:pPr>
    </w:p>
    <w:p w14:paraId="0199A4F4" w14:textId="4B83B8E3" w:rsidR="005E267D" w:rsidRPr="008E1307" w:rsidRDefault="005E267D" w:rsidP="00CA78FE">
      <w:pPr>
        <w:spacing w:after="0"/>
        <w:jc w:val="center"/>
        <w:rPr>
          <w:rFonts w:asciiTheme="minorHAnsi" w:hAnsiTheme="minorHAnsi"/>
          <w:sz w:val="20"/>
          <w:szCs w:val="20"/>
        </w:rPr>
      </w:pPr>
      <w:r w:rsidRPr="008E1307">
        <w:rPr>
          <w:rFonts w:asciiTheme="minorHAnsi" w:hAnsiTheme="minorHAnsi"/>
          <w:sz w:val="20"/>
          <w:szCs w:val="20"/>
        </w:rPr>
        <w:t>Table 3. Crude, Age, and Area Adjusted Rates of Chronic Disease</w:t>
      </w:r>
    </w:p>
    <w:p w14:paraId="13545552" w14:textId="77777777" w:rsidR="00CD3BB0" w:rsidRPr="008E1307" w:rsidRDefault="00CD3BB0" w:rsidP="00CD3BB0">
      <w:pPr>
        <w:pStyle w:val="BodyText"/>
        <w:rPr>
          <w:rFonts w:asciiTheme="minorHAnsi" w:hAnsiTheme="minorHAnsi"/>
        </w:rPr>
      </w:pPr>
    </w:p>
    <w:p w14:paraId="5E88DD9E" w14:textId="64251A9F" w:rsidR="00B92908" w:rsidRPr="008E1307" w:rsidRDefault="00B92908">
      <w:pPr>
        <w:spacing w:after="0"/>
        <w:rPr>
          <w:rFonts w:asciiTheme="minorHAnsi" w:hAnsiTheme="minorHAnsi" w:cs="Calibri"/>
          <w:color w:val="000000"/>
        </w:rPr>
      </w:pPr>
      <w:r w:rsidRPr="008E1307">
        <w:rPr>
          <w:rFonts w:asciiTheme="minorHAnsi" w:hAnsiTheme="minorHAnsi"/>
          <w:b/>
          <w:bCs/>
          <w:i/>
          <w:iCs/>
        </w:rPr>
        <w:br w:type="page"/>
      </w:r>
    </w:p>
    <w:p w14:paraId="7E7B33E7" w14:textId="2025CEB3" w:rsidR="00B92908" w:rsidRPr="008E1307" w:rsidRDefault="00D402A2" w:rsidP="00D402A2">
      <w:pPr>
        <w:spacing w:after="0"/>
        <w:jc w:val="center"/>
        <w:rPr>
          <w:rFonts w:asciiTheme="minorHAnsi" w:hAnsiTheme="minorHAnsi" w:cs="Calibri"/>
          <w:color w:val="000000"/>
        </w:rPr>
      </w:pPr>
      <w:r w:rsidRPr="008E1307">
        <w:rPr>
          <w:rFonts w:asciiTheme="minorHAnsi" w:hAnsiTheme="minorHAnsi"/>
          <w:noProof/>
        </w:rPr>
        <w:lastRenderedPageBreak/>
        <w:drawing>
          <wp:inline distT="0" distB="0" distL="0" distR="0" wp14:anchorId="7077F6F5" wp14:editId="39EE0EBA">
            <wp:extent cx="8018753" cy="4503695"/>
            <wp:effectExtent l="4763" t="0" r="6667" b="6668"/>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018753" cy="4503695"/>
                    </a:xfrm>
                    <a:prstGeom prst="rect">
                      <a:avLst/>
                    </a:prstGeom>
                    <a:noFill/>
                    <a:ln>
                      <a:noFill/>
                    </a:ln>
                  </pic:spPr>
                </pic:pic>
              </a:graphicData>
            </a:graphic>
          </wp:inline>
        </w:drawing>
      </w:r>
      <w:r w:rsidR="00B92908" w:rsidRPr="008E1307">
        <w:rPr>
          <w:rFonts w:asciiTheme="minorHAnsi" w:hAnsiTheme="minorHAnsi"/>
          <w:b/>
          <w:bCs/>
          <w:i/>
          <w:iCs/>
        </w:rPr>
        <w:br w:type="page"/>
      </w:r>
    </w:p>
    <w:p w14:paraId="5D45273B" w14:textId="35EEC71C" w:rsidR="00277D3C" w:rsidRPr="008E1307" w:rsidRDefault="00F96B3C" w:rsidP="00051EC8">
      <w:pPr>
        <w:pStyle w:val="Heading5"/>
        <w:rPr>
          <w:rFonts w:asciiTheme="minorHAnsi" w:hAnsiTheme="minorHAnsi"/>
          <w:b w:val="0"/>
          <w:bCs w:val="0"/>
          <w:i w:val="0"/>
          <w:iCs w:val="0"/>
        </w:rPr>
      </w:pPr>
      <w:r w:rsidRPr="008E1307">
        <w:rPr>
          <w:rFonts w:asciiTheme="minorHAnsi" w:hAnsiTheme="minorHAnsi"/>
          <w:b w:val="0"/>
          <w:bCs w:val="0"/>
          <w:i w:val="0"/>
          <w:iCs w:val="0"/>
        </w:rPr>
        <w:lastRenderedPageBreak/>
        <w:t xml:space="preserve">When crude rates are considered asthma. hypertension, and hyperlipidemia are the </w:t>
      </w:r>
      <w:r w:rsidR="00F55D44" w:rsidRPr="008E1307">
        <w:rPr>
          <w:rFonts w:asciiTheme="minorHAnsi" w:hAnsiTheme="minorHAnsi"/>
          <w:b w:val="0"/>
          <w:bCs w:val="0"/>
          <w:i w:val="0"/>
          <w:iCs w:val="0"/>
        </w:rPr>
        <w:t>highest among the population. Due to the high prevalence of these conditions among the U.S. population, this is expected</w:t>
      </w:r>
      <w:r w:rsidR="0041621A">
        <w:rPr>
          <w:rFonts w:asciiTheme="minorHAnsi" w:hAnsiTheme="minorHAnsi"/>
          <w:b w:val="0"/>
          <w:bCs w:val="0"/>
          <w:i w:val="0"/>
          <w:iCs w:val="0"/>
        </w:rPr>
        <w:fldChar w:fldCharType="begin"/>
      </w:r>
      <w:r w:rsidR="0041621A">
        <w:rPr>
          <w:rFonts w:asciiTheme="minorHAnsi" w:hAnsiTheme="minorHAnsi"/>
          <w:b w:val="0"/>
          <w:bCs w:val="0"/>
          <w:i w:val="0"/>
          <w:iCs w:val="0"/>
        </w:rPr>
        <w:instrText>ADDIN F1000_CSL_CITATION&lt;~#@#~&gt;[{"title":"Chronic Diseases in America","id":"11549604","type":"webpage","author":[{"family":"Centers for Disease Control (CDC)","given":"National Center for Chronic Disease Prevention and Health Promotion"}],"issued":{"date-parts":[["2021","1","12"]]},"URL":"https://www.cdc.gov/chronicdisease/resources/infographic/chronic-diseases.htm","accessed":{"date-parts":[["2021","8","15"]]},"container-title":"Chronic Diseases in America","citation-label":"11549604","CleanAbstract":"No abstract available"}]</w:instrText>
      </w:r>
      <w:r w:rsidR="0041621A">
        <w:rPr>
          <w:rFonts w:asciiTheme="minorHAnsi" w:hAnsiTheme="minorHAnsi"/>
          <w:b w:val="0"/>
          <w:bCs w:val="0"/>
          <w:i w:val="0"/>
          <w:iCs w:val="0"/>
        </w:rPr>
        <w:fldChar w:fldCharType="separate"/>
      </w:r>
      <w:r w:rsidR="0041621A">
        <w:rPr>
          <w:rFonts w:asciiTheme="minorHAnsi" w:hAnsiTheme="minorHAnsi"/>
          <w:b w:val="0"/>
          <w:bCs w:val="0"/>
          <w:i w:val="0"/>
          <w:iCs w:val="0"/>
        </w:rPr>
        <w:t>(20)</w:t>
      </w:r>
      <w:r w:rsidR="0041621A">
        <w:rPr>
          <w:rFonts w:asciiTheme="minorHAnsi" w:hAnsiTheme="minorHAnsi"/>
          <w:b w:val="0"/>
          <w:bCs w:val="0"/>
          <w:i w:val="0"/>
          <w:iCs w:val="0"/>
        </w:rPr>
        <w:fldChar w:fldCharType="end"/>
      </w:r>
      <w:r w:rsidR="00F55D44" w:rsidRPr="008E1307">
        <w:rPr>
          <w:rFonts w:asciiTheme="minorHAnsi" w:hAnsiTheme="minorHAnsi"/>
          <w:b w:val="0"/>
          <w:bCs w:val="0"/>
          <w:i w:val="0"/>
          <w:iCs w:val="0"/>
        </w:rPr>
        <w:t xml:space="preserve">. </w:t>
      </w:r>
      <w:r w:rsidR="00686EF1" w:rsidRPr="008E1307">
        <w:rPr>
          <w:rFonts w:asciiTheme="minorHAnsi" w:hAnsiTheme="minorHAnsi"/>
          <w:b w:val="0"/>
          <w:bCs w:val="0"/>
          <w:i w:val="0"/>
          <w:iCs w:val="0"/>
        </w:rPr>
        <w:t xml:space="preserve">This is also the case when adjusting for area. </w:t>
      </w:r>
    </w:p>
    <w:p w14:paraId="4D7E7BB8" w14:textId="28F6ED8F" w:rsidR="00686EF1" w:rsidRPr="008E1307" w:rsidRDefault="00D367AD" w:rsidP="00686EF1">
      <w:pPr>
        <w:pStyle w:val="BodyText"/>
        <w:rPr>
          <w:rFonts w:asciiTheme="minorHAnsi" w:hAnsiTheme="minorHAnsi"/>
        </w:rPr>
      </w:pPr>
      <w:r w:rsidRPr="008E1307">
        <w:rPr>
          <w:rFonts w:asciiTheme="minorHAnsi" w:hAnsiTheme="minorHAnsi"/>
        </w:rPr>
        <w:t xml:space="preserve">However, when adjusting for age Heart Failure becomes the condition with the highest prevalence followed by asthma and ischemic heart disease. This indicates that </w:t>
      </w:r>
      <w:r w:rsidR="00BF229C" w:rsidRPr="008E1307">
        <w:rPr>
          <w:rFonts w:asciiTheme="minorHAnsi" w:hAnsiTheme="minorHAnsi"/>
        </w:rPr>
        <w:t>when age is considered, hyperlipidemia and hypertension are less prevalent</w:t>
      </w:r>
      <w:r w:rsidR="00D83999" w:rsidRPr="008E1307">
        <w:rPr>
          <w:rFonts w:asciiTheme="minorHAnsi" w:hAnsiTheme="minorHAnsi"/>
        </w:rPr>
        <w:t xml:space="preserve">. This is also consistent with the U.S. population as hypertension and hyperlipidemia effects greater portions of the population over time. </w:t>
      </w:r>
      <w:r w:rsidR="00F042A1" w:rsidRPr="008E1307">
        <w:rPr>
          <w:rFonts w:asciiTheme="minorHAnsi" w:hAnsiTheme="minorHAnsi"/>
        </w:rPr>
        <w:t>Similarly, cardiovascular diseases of any kind are consistently the highest cause of death for the U.S. population</w:t>
      </w:r>
      <w:r w:rsidR="0041621A">
        <w:rPr>
          <w:rFonts w:asciiTheme="minorHAnsi" w:hAnsiTheme="minorHAnsi"/>
        </w:rPr>
        <w:fldChar w:fldCharType="begin"/>
      </w:r>
      <w:r w:rsidR="0041621A">
        <w:rPr>
          <w:rFonts w:asciiTheme="minorHAnsi" w:hAnsiTheme="minorHAnsi"/>
        </w:rPr>
        <w:instrText>ADDIN F1000_CSL_CITATION&lt;~#@#~&gt;[{"title":"Trends in Cardiovascular Disease Risk in the U.S., 1999-2014.","id":"9780158","ArticleId":"733535345","page":"384-388","type":"article-journal","volume":"55","issue":"3","author":[{"family":"Mainous","given":"Arch G"},{"family":"Tanner","given":"Rebecca J"},{"family":"Jo","given":"Ara"},{"family":"Park","given":"Ki"},{"family":"Beau De Rochars","given":"V Madsen"}],"issued":{"date-parts":[["2018","6","27"]]},"container-title":"American Journal of Preventive Medicine","container-title-short":"Am. J. Prev. Med.","journalAbbreviation":"Am. J. Prev. Med.","DOI":"10.1016/j.amepre.2018.04.025","PMID":"29958719","citation-label":"9780158","Abstract":"&lt;strong&gt;INTRODUCTION:&lt;/strong&gt; Cardiovascular disease is the leading cause of death in the U.S. and national prevalence of the proportion of individuals at high risk is unknown. The objective of this study was to investigate the prevalence and trends in high cardiovascular disease risk among adults in the U.S.&lt;br&gt;&lt;br&gt;&lt;strong&gt;METHODS:&lt;/strong&gt; In 2017, the authors performed a cross-sectional analysis of data from the National Health and Nutrition Examination Survey, 1999-2014 for adults aged 40-79 years without a diagnosis of cardiovascular disease (unweighted n=18,269, weighted n=96,512,989). The American College of Cardiology/American Heart Association Atherosclerotic Cardiovascular Disease risk score was calculated for all participants with complete data. Change in prevalence of individuals at high risk of cardiovascular disease was assessed, defined as ≥7.5% 10-year risk and ≥20% 10-year risk.&lt;br&gt;&lt;br&gt;&lt;strong&gt;RESULTS:&lt;/strong&gt; The prevalence of high risk level did not significantly change over time for the entire sample using the 7.5% 10-year risk level, but did decline significantly at 20% 10-year risk level. Logistic regression results showed that prevalence among non-Hispanic black males increased significantly from 53.5% in 1999-2002 to 65.2% in 2011-2014 using the 7.5% 10-year risk cut off (p-trend=0.003).&lt;br&gt;&lt;br&gt;&lt;strong&gt;CONCLUSIONS:&lt;/strong&gt; A substantial proportion of the population is at high risk of cardiovascular disease. Prevalence of high-risk individuals is prominent for non-Hispanic black males; the reasons for which are unclear. Public health efforts to increase awareness should be considered for this vulnerable population.&lt;br&gt;&lt;br&gt;Copyright © 2018 American Journal of Preventive Medicine. Published by Elsevier Inc. All rights reserved.","CleanAbstract":"INTRODUCTION: Cardiovascular disease is the leading cause of death in the U.S. and national prevalence of the proportion of individuals at high risk is unknown. The objective of this study was to investigate the prevalence and trends in high cardiovascular disease risk among adults in the U.S.METHODS: In 2017, the authors performed a cross-sectional analysis of data from the National Health and Nutrition Examination Survey, 1999-2014 for adults aged 40-79 years without a diagnosis of cardiovascular disease (unweighted n=18,269, weighted n=96,512,989). The American College of Cardiology/American Heart Association Atherosclerotic Cardiovascular Disease risk score was calculated for all participants with complete data. Change in prevalence of individuals at high risk of cardiovascular disease was assessed, defined as ≥7.5% 10-year risk and ≥20% 10-year risk.RESULTS: The prevalence of high risk level did not significantly change over time for the entire sample using the 7.5% 10-year risk level, but did decline significantly at 20% 10-year risk level. Logistic regression results showed that prevalence among non-Hispanic black males increased significantly from 53.5% in 1999-2002 to 65.2% in 2011-2014 using the 7.5% 10-year risk cut off (p-trend=0.003).CONCLUSIONS: A substantial proportion of the population is at high risk of cardiovascular disease. Prevalence of high-risk individuals is prominent for non-Hispanic black males; the reasons for which are unclear. Public health efforts to increase awareness should be considered for this vulnerable population.Copyright © 2018 American Journal of Preventive Medicine. Published by Elsevier Inc. All rights reserved."},{"title":"Actual causes of death in the United States, 2000.","id":"388238","ArticleId":"723495640","page":"1238-1245","type":"article-journal","volume":"291","issue":"10","author":[{"family":"Mokdad","given":"Ali H"},{"family":"Marks","given":"James S"},{"family":"Stroup","given":"Donna F"},{"family":"Gerberding","given":"Julie L"}],"issued":{"date-parts":[["2004","3","10"]]},"container-title":"The Journal of the American Medical Association","container-title-short":"JAMA","journalAbbreviation":"JAMA","DOI":"10.1001/jama.291.10.1238","PMID":"15010446","citation-label":"388238","Abstract":"&lt;strong&gt;CONTEXT:&lt;/strong&gt; Modifiable behavioral risk factors are leading causes of mortality in the United States. Quantifying these will provide insight into the effects of recent trends and the implications of missed prevention opportunities.&lt;br&gt;&lt;br&gt;&lt;strong&gt;OBJECTIVES:&lt;/strong&gt; To identify and quantify the leading causes of mortality in the United States.&lt;br&gt;&lt;br&gt;&lt;strong&gt;DESIGN:&lt;/strong&gt; Comprehensive MEDLINE search of English-language articles that identified epidemiological, clinical, and laboratory studies linking risk behaviors and mortality. The search was initially restricted to articles published during or after 1990, but we later included relevant articles published in 1980 to December 31, 2002. Prevalence and relative risk were identified during the literature search. We used 2000 mortality data reported to the Centers for Disease Control and Prevention to identify the causes and number of deaths. The estimates of cause of death were computed by multiplying estimates of the cause-attributable fraction of preventable deaths with the total mortality data.&lt;br&gt;&lt;br&gt;&lt;strong&gt;MAIN OUTCOME MEASURES:&lt;/strong&gt; Actual causes of death.&lt;br&gt;&lt;br&gt;&lt;strong&gt;RESULTS:&lt;/strong&gt; The leading causes of death in 2000 were tobacco (435 000 deaths; 18.1% of total US deaths), poor diet and physical inactivity (365 000 deaths; 15.2%) [corrected], and alcohol consumption (85 000 deaths; 3.5%). Other actual causes of death were microbial agents (75 000), toxic agents (55 000), motor vehicle crashes (43 000), incidents involving firearms (29 000), sexual behaviors (20 000), and illicit use of drugs (17 000).&lt;br&gt;&lt;br&gt;&lt;strong&gt;CONCLUSIONS:&lt;/strong&gt; These analyses show that smoking remains the leading cause of mortality. However, poor diet and physical inactivity may soon overtake tobacco as the leading cause of death. These findings, along with escalating health care costs and aging population, argue persuasively that the need to establish a more preventive orientation in the US health care and public health systems has become more urgent.","CleanAbstract":"CONTEXT: Modifiable behavioral risk factors are leading causes of mortality in the United States. Quantifying these will provide insight into the effects of recent trends and the implications of missed prevention opportunities.OBJECTIVES: To identify and quantify the leading causes of mortality in the United States.DESIGN: Comprehensive MEDLINE search of English-language articles that identified epidemiological, clinical, and laboratory studies linking risk behaviors and mortality. The search was initially restricted to articles published during or after 1990, but we later included relevant articles published in 1980 to December 31, 2002. Prevalence and relative risk were identified during the literature search. We used 2000 mortality data reported to the Centers for Disease Control and Prevention to identify the causes and number of deaths. The estimates of cause of death were computed by multiplying estimates of the cause-attributable fraction of preventable deaths with the total mortality data.MAIN OUTCOME MEASURES: Actual causes of death.RESULTS: The leading causes of death in 2000 were tobacco (435 000 deaths; 18.1% of total US deaths), poor diet and physical inactivity (365 000 deaths; 15.2%) [corrected], and alcohol consumption (85 000 deaths; 3.5%). Other actual causes of death were microbial agents (75 000), toxic agents (55 000), motor vehicle crashes (43 000), incidents involving firearms (29 000), sexual behaviors (20 000), and illicit use of drugs (17 000).CONCLUSIONS: These analyses show that smoking remains the leading cause of mortality. However, poor diet and physical inactivity may soon overtake tobacco as the leading cause of death. These findings, along with escalating health care costs and aging population, argue persuasively that the need to establish a more preventive orientation in the US health care and public health systems has become more urgent."}]</w:instrText>
      </w:r>
      <w:r w:rsidR="0041621A">
        <w:rPr>
          <w:rFonts w:asciiTheme="minorHAnsi" w:hAnsiTheme="minorHAnsi"/>
        </w:rPr>
        <w:fldChar w:fldCharType="separate"/>
      </w:r>
      <w:r w:rsidR="0041621A">
        <w:rPr>
          <w:rFonts w:asciiTheme="minorHAnsi" w:hAnsiTheme="minorHAnsi"/>
        </w:rPr>
        <w:t>(21,22)</w:t>
      </w:r>
      <w:r w:rsidR="0041621A">
        <w:rPr>
          <w:rFonts w:asciiTheme="minorHAnsi" w:hAnsiTheme="minorHAnsi"/>
        </w:rPr>
        <w:fldChar w:fldCharType="end"/>
      </w:r>
      <w:r w:rsidR="00F042A1" w:rsidRPr="008E1307">
        <w:rPr>
          <w:rFonts w:asciiTheme="minorHAnsi" w:hAnsiTheme="minorHAnsi"/>
        </w:rPr>
        <w:t xml:space="preserve">. </w:t>
      </w:r>
    </w:p>
    <w:p w14:paraId="057D653A" w14:textId="5FA7ABD0" w:rsidR="00321B87" w:rsidRPr="008E1307" w:rsidRDefault="00321B87" w:rsidP="00686EF1">
      <w:pPr>
        <w:pStyle w:val="BodyText"/>
        <w:rPr>
          <w:rFonts w:asciiTheme="minorHAnsi" w:hAnsiTheme="minorHAnsi"/>
        </w:rPr>
      </w:pPr>
      <w:r w:rsidRPr="008E1307">
        <w:rPr>
          <w:rFonts w:asciiTheme="minorHAnsi" w:hAnsiTheme="minorHAnsi"/>
        </w:rPr>
        <w:t xml:space="preserve">Hypertension and hyperlipidemia treatment is relatively commonplace for elderly </w:t>
      </w:r>
      <w:proofErr w:type="gramStart"/>
      <w:r w:rsidRPr="008E1307">
        <w:rPr>
          <w:rFonts w:asciiTheme="minorHAnsi" w:hAnsiTheme="minorHAnsi"/>
        </w:rPr>
        <w:t>patients, but</w:t>
      </w:r>
      <w:proofErr w:type="gramEnd"/>
      <w:r w:rsidRPr="008E1307">
        <w:rPr>
          <w:rFonts w:asciiTheme="minorHAnsi" w:hAnsiTheme="minorHAnsi"/>
        </w:rPr>
        <w:t xml:space="preserve"> ensuring access to care for asthma and COPD patients may be a higher priority for costs within this population. Younger patients may benefit from targeted approaches to prevent cardiovascular disease like access to specialists or early adoption of front-line medications for those individuals at younger ages with higher risk.</w:t>
      </w:r>
    </w:p>
    <w:p w14:paraId="301FB39F" w14:textId="00D12AFE" w:rsidR="00F042A1" w:rsidRPr="008E1307" w:rsidRDefault="00F042A1" w:rsidP="00686EF1">
      <w:pPr>
        <w:pStyle w:val="BodyText"/>
        <w:rPr>
          <w:rFonts w:asciiTheme="minorHAnsi" w:hAnsiTheme="minorHAnsi"/>
        </w:rPr>
      </w:pPr>
      <w:r w:rsidRPr="008E1307">
        <w:rPr>
          <w:rFonts w:asciiTheme="minorHAnsi" w:hAnsiTheme="minorHAnsi"/>
        </w:rPr>
        <w:t xml:space="preserve">The difference in calculating the rates indicate that </w:t>
      </w:r>
      <w:r w:rsidR="00A21ED1" w:rsidRPr="008E1307">
        <w:rPr>
          <w:rFonts w:asciiTheme="minorHAnsi" w:hAnsiTheme="minorHAnsi"/>
        </w:rPr>
        <w:t xml:space="preserve">approaches to improving CC care among the covered population will need to be tailored by age. </w:t>
      </w:r>
    </w:p>
    <w:p w14:paraId="6A288F37" w14:textId="26BDFE1D" w:rsidR="00263D70" w:rsidRPr="008E1307" w:rsidRDefault="00263D70" w:rsidP="00051EC8">
      <w:pPr>
        <w:pStyle w:val="Heading5"/>
        <w:rPr>
          <w:rFonts w:asciiTheme="minorHAnsi" w:hAnsiTheme="minorHAnsi"/>
        </w:rPr>
      </w:pPr>
      <w:r w:rsidRPr="008E1307">
        <w:rPr>
          <w:rFonts w:asciiTheme="minorHAnsi" w:hAnsiTheme="minorHAnsi"/>
        </w:rPr>
        <w:t xml:space="preserve">Observation 2: </w:t>
      </w:r>
      <w:r w:rsidR="00D84AF7" w:rsidRPr="008E1307">
        <w:rPr>
          <w:rFonts w:asciiTheme="minorHAnsi" w:hAnsiTheme="minorHAnsi"/>
        </w:rPr>
        <w:t>C</w:t>
      </w:r>
      <w:r w:rsidR="00416E67" w:rsidRPr="008E1307">
        <w:rPr>
          <w:rFonts w:asciiTheme="minorHAnsi" w:hAnsiTheme="minorHAnsi"/>
        </w:rPr>
        <w:t xml:space="preserve">oncentration of </w:t>
      </w:r>
      <w:r w:rsidR="00E847A8" w:rsidRPr="008E1307">
        <w:rPr>
          <w:rFonts w:asciiTheme="minorHAnsi" w:hAnsiTheme="minorHAnsi"/>
        </w:rPr>
        <w:t>c</w:t>
      </w:r>
      <w:r w:rsidR="00416E67" w:rsidRPr="008E1307">
        <w:rPr>
          <w:rFonts w:asciiTheme="minorHAnsi" w:hAnsiTheme="minorHAnsi"/>
        </w:rPr>
        <w:t>ost within</w:t>
      </w:r>
      <w:r w:rsidR="00FB7DEC" w:rsidRPr="008E1307">
        <w:rPr>
          <w:rFonts w:asciiTheme="minorHAnsi" w:hAnsiTheme="minorHAnsi"/>
        </w:rPr>
        <w:t xml:space="preserve"> working age, marketplace</w:t>
      </w:r>
      <w:r w:rsidR="00E847A8" w:rsidRPr="008E1307">
        <w:rPr>
          <w:rFonts w:asciiTheme="minorHAnsi" w:hAnsiTheme="minorHAnsi"/>
        </w:rPr>
        <w:t xml:space="preserve"> eligible beneficiaries.</w:t>
      </w:r>
    </w:p>
    <w:p w14:paraId="24DC275E" w14:textId="74CAD986" w:rsidR="00D14A51" w:rsidRPr="008E1307" w:rsidRDefault="00C81E7F" w:rsidP="00162511">
      <w:pPr>
        <w:pStyle w:val="BodyText"/>
        <w:rPr>
          <w:rFonts w:asciiTheme="minorHAnsi" w:hAnsiTheme="minorHAnsi"/>
        </w:rPr>
      </w:pPr>
      <w:r w:rsidRPr="008E1307">
        <w:rPr>
          <w:rFonts w:asciiTheme="minorHAnsi" w:hAnsiTheme="minorHAnsi"/>
        </w:rPr>
        <w:t>The Patient Protection and Affordable Care Act</w:t>
      </w:r>
      <w:r w:rsidR="00DE12E2" w:rsidRPr="008E1307">
        <w:rPr>
          <w:rFonts w:asciiTheme="minorHAnsi" w:hAnsiTheme="minorHAnsi"/>
        </w:rPr>
        <w:t xml:space="preserve"> of 2010 (ACA)</w:t>
      </w:r>
      <w:r w:rsidRPr="008E1307">
        <w:rPr>
          <w:rFonts w:asciiTheme="minorHAnsi" w:hAnsiTheme="minorHAnsi"/>
        </w:rPr>
        <w:t xml:space="preserve"> introduced many changes to the availability of health insurance to the U.S. population</w:t>
      </w:r>
      <w:r w:rsidR="008469E0">
        <w:rPr>
          <w:rFonts w:asciiTheme="minorHAnsi" w:hAnsiTheme="minorHAnsi"/>
        </w:rPr>
        <w:fldChar w:fldCharType="begin"/>
      </w:r>
      <w:r w:rsidR="008469E0">
        <w:rPr>
          <w:rFonts w:asciiTheme="minorHAnsi" w:hAnsiTheme="minorHAnsi"/>
        </w:rPr>
        <w:instrText>ADDIN F1000_CSL_CITATION&lt;~#@#~&gt;[{"title":"About the Affordable Care Act","id":"11549609","type":"webpage","author":[{"family":"Department of Health and Human Services"}],"issued":{"date-parts":[["2021","8","10"]]},"URL":"https://www.hhs.gov/healthcare/about-the-aca/index.html","accessed":{"date-parts":[["2021","8","16"]]},"container-title":"About the ACA","citation-label":"11549609","CleanAbstract":"No abstract available"}]</w:instrText>
      </w:r>
      <w:r w:rsidR="008469E0">
        <w:rPr>
          <w:rFonts w:asciiTheme="minorHAnsi" w:hAnsiTheme="minorHAnsi"/>
        </w:rPr>
        <w:fldChar w:fldCharType="separate"/>
      </w:r>
      <w:r w:rsidR="008469E0">
        <w:rPr>
          <w:rFonts w:asciiTheme="minorHAnsi" w:hAnsiTheme="minorHAnsi"/>
        </w:rPr>
        <w:t>(23)</w:t>
      </w:r>
      <w:r w:rsidR="008469E0">
        <w:rPr>
          <w:rFonts w:asciiTheme="minorHAnsi" w:hAnsiTheme="minorHAnsi"/>
        </w:rPr>
        <w:fldChar w:fldCharType="end"/>
      </w:r>
      <w:r w:rsidRPr="008E1307">
        <w:rPr>
          <w:rFonts w:asciiTheme="minorHAnsi" w:hAnsiTheme="minorHAnsi"/>
        </w:rPr>
        <w:t xml:space="preserve">. </w:t>
      </w:r>
      <w:r w:rsidR="00DE12E2" w:rsidRPr="008E1307">
        <w:rPr>
          <w:rFonts w:asciiTheme="minorHAnsi" w:hAnsiTheme="minorHAnsi"/>
        </w:rPr>
        <w:t xml:space="preserve">Some of those changes included the expansion of different coverage types based on age and dependency status. </w:t>
      </w:r>
      <w:r w:rsidR="006E4E53" w:rsidRPr="008E1307">
        <w:rPr>
          <w:rFonts w:asciiTheme="minorHAnsi" w:hAnsiTheme="minorHAnsi"/>
        </w:rPr>
        <w:t>T</w:t>
      </w:r>
      <w:r w:rsidR="00DE0F27" w:rsidRPr="008E1307">
        <w:rPr>
          <w:rFonts w:asciiTheme="minorHAnsi" w:hAnsiTheme="minorHAnsi"/>
        </w:rPr>
        <w:t xml:space="preserve">o evaluate the opportunities for cost savings within the population, it is necessary to </w:t>
      </w:r>
      <w:r w:rsidR="00184F86" w:rsidRPr="008E1307">
        <w:rPr>
          <w:rFonts w:asciiTheme="minorHAnsi" w:hAnsiTheme="minorHAnsi"/>
        </w:rPr>
        <w:t>desc</w:t>
      </w:r>
      <w:r w:rsidR="00CE3371" w:rsidRPr="008E1307">
        <w:rPr>
          <w:rFonts w:asciiTheme="minorHAnsi" w:hAnsiTheme="minorHAnsi"/>
        </w:rPr>
        <w:t>r</w:t>
      </w:r>
      <w:r w:rsidR="00184F86" w:rsidRPr="008E1307">
        <w:rPr>
          <w:rFonts w:asciiTheme="minorHAnsi" w:hAnsiTheme="minorHAnsi"/>
        </w:rPr>
        <w:t>ibe</w:t>
      </w:r>
      <w:r w:rsidR="00DE0F27" w:rsidRPr="008E1307">
        <w:rPr>
          <w:rFonts w:asciiTheme="minorHAnsi" w:hAnsiTheme="minorHAnsi"/>
        </w:rPr>
        <w:t xml:space="preserve"> the differences in cost experienced by </w:t>
      </w:r>
      <w:r w:rsidR="002D1C70" w:rsidRPr="008E1307">
        <w:rPr>
          <w:rFonts w:asciiTheme="minorHAnsi" w:hAnsiTheme="minorHAnsi"/>
        </w:rPr>
        <w:t xml:space="preserve">age groups within </w:t>
      </w:r>
      <w:r w:rsidR="00184F86" w:rsidRPr="008E1307">
        <w:rPr>
          <w:rFonts w:asciiTheme="minorHAnsi" w:hAnsiTheme="minorHAnsi"/>
        </w:rPr>
        <w:t>t</w:t>
      </w:r>
      <w:r w:rsidR="002D1C70" w:rsidRPr="008E1307">
        <w:rPr>
          <w:rFonts w:asciiTheme="minorHAnsi" w:hAnsiTheme="minorHAnsi"/>
        </w:rPr>
        <w:t>he covered population</w:t>
      </w:r>
      <w:r w:rsidR="00184F86" w:rsidRPr="008E1307">
        <w:rPr>
          <w:rFonts w:asciiTheme="minorHAnsi" w:hAnsiTheme="minorHAnsi"/>
        </w:rPr>
        <w:t xml:space="preserve"> </w:t>
      </w:r>
      <w:r w:rsidR="002D1C70" w:rsidRPr="008E1307">
        <w:rPr>
          <w:rFonts w:asciiTheme="minorHAnsi" w:hAnsiTheme="minorHAnsi"/>
        </w:rPr>
        <w:t xml:space="preserve">that can be offered </w:t>
      </w:r>
      <w:r w:rsidR="00184F86" w:rsidRPr="008E1307">
        <w:rPr>
          <w:rFonts w:asciiTheme="minorHAnsi" w:hAnsiTheme="minorHAnsi"/>
        </w:rPr>
        <w:t xml:space="preserve">different types of coverage plans. </w:t>
      </w:r>
      <w:r w:rsidR="002D1C70" w:rsidRPr="008E1307">
        <w:rPr>
          <w:rFonts w:asciiTheme="minorHAnsi" w:hAnsiTheme="minorHAnsi"/>
        </w:rPr>
        <w:t xml:space="preserve"> </w:t>
      </w:r>
      <w:r w:rsidR="00CE3371" w:rsidRPr="008E1307">
        <w:rPr>
          <w:rFonts w:asciiTheme="minorHAnsi" w:hAnsiTheme="minorHAnsi"/>
        </w:rPr>
        <w:t xml:space="preserve">Table 5 shows the differences in costs as well as inpatient, and ER utilization for enrollees by age range and ACA plan availability group. </w:t>
      </w:r>
    </w:p>
    <w:p w14:paraId="64E6D1D9" w14:textId="77777777" w:rsidR="0064039E" w:rsidRPr="008E1307" w:rsidRDefault="0064039E" w:rsidP="0064039E">
      <w:pPr>
        <w:pStyle w:val="BodyText"/>
        <w:rPr>
          <w:rFonts w:asciiTheme="minorHAnsi" w:hAnsiTheme="minorHAnsi"/>
        </w:rPr>
      </w:pPr>
      <w:r w:rsidRPr="008E1307">
        <w:rPr>
          <w:rFonts w:asciiTheme="minorHAnsi" w:hAnsiTheme="minorHAnsi"/>
        </w:rPr>
        <w:t xml:space="preserve">Marketplace eligible beneficiaries (not-dependents, not able to qualify for catastrophic plans, and not able to qualify for Medicare) comprise the largest portion of costs ($164,810,102; 67%). Medicare eligible patients experience the largest cost per beneficiary ($77,001) as well as inpatient and ER visit per beneficiary (2.88, 2.91). Each of these rates are more than double the marketplace eligible population. </w:t>
      </w:r>
    </w:p>
    <w:p w14:paraId="060D57BD" w14:textId="77777777" w:rsidR="0064039E" w:rsidRPr="008E1307" w:rsidRDefault="0064039E" w:rsidP="0064039E">
      <w:pPr>
        <w:pStyle w:val="BodyText"/>
        <w:rPr>
          <w:rFonts w:asciiTheme="minorHAnsi" w:hAnsiTheme="minorHAnsi"/>
        </w:rPr>
      </w:pPr>
      <w:r w:rsidRPr="008E1307">
        <w:rPr>
          <w:rFonts w:asciiTheme="minorHAnsi" w:hAnsiTheme="minorHAnsi"/>
        </w:rPr>
        <w:t xml:space="preserve">While Medicare eligible beneficiaries may be the </w:t>
      </w:r>
      <w:proofErr w:type="gramStart"/>
      <w:r w:rsidRPr="008E1307">
        <w:rPr>
          <w:rFonts w:asciiTheme="minorHAnsi" w:hAnsiTheme="minorHAnsi"/>
        </w:rPr>
        <w:t>most costly</w:t>
      </w:r>
      <w:proofErr w:type="gramEnd"/>
      <w:r w:rsidRPr="008E1307">
        <w:rPr>
          <w:rFonts w:asciiTheme="minorHAnsi" w:hAnsiTheme="minorHAnsi"/>
        </w:rPr>
        <w:t xml:space="preserve"> on an individual basis, the overall cost is relatively low when compared to the Marketplace eligible population. This information is particularly helpful when considering where to target interventions that are designed to control costs among various population groups in the context of coverage options. </w:t>
      </w:r>
    </w:p>
    <w:p w14:paraId="4F93C71A" w14:textId="28369910" w:rsidR="00884EF7" w:rsidRPr="008E1307" w:rsidRDefault="0064039E" w:rsidP="000D0523">
      <w:pPr>
        <w:pStyle w:val="BodyText"/>
        <w:rPr>
          <w:rFonts w:asciiTheme="minorHAnsi" w:hAnsiTheme="minorHAnsi"/>
        </w:rPr>
      </w:pPr>
      <w:r w:rsidRPr="008E1307">
        <w:rPr>
          <w:rFonts w:asciiTheme="minorHAnsi" w:hAnsiTheme="minorHAnsi"/>
        </w:rPr>
        <w:t xml:space="preserve">Medicare eligible beneficiaries have the greatest potential to reduce costs broadly among the population through reductions in per beneficiary utilization. However, the total proportion of the costs generated by that population limit the opportunity for major changes. A 10% reduction in utilization and corresponding spending would be a major </w:t>
      </w:r>
      <w:proofErr w:type="gramStart"/>
      <w:r w:rsidRPr="008E1307">
        <w:rPr>
          <w:rFonts w:asciiTheme="minorHAnsi" w:hAnsiTheme="minorHAnsi"/>
        </w:rPr>
        <w:t>achievement, but</w:t>
      </w:r>
      <w:proofErr w:type="gramEnd"/>
      <w:r w:rsidRPr="008E1307">
        <w:rPr>
          <w:rFonts w:asciiTheme="minorHAnsi" w:hAnsiTheme="minorHAnsi"/>
        </w:rPr>
        <w:t xml:space="preserve"> would only yield a 1% overall reduction in costs. </w:t>
      </w:r>
      <w:r w:rsidR="00D14A51" w:rsidRPr="008E1307">
        <w:rPr>
          <w:rFonts w:asciiTheme="minorHAnsi" w:hAnsiTheme="minorHAnsi"/>
        </w:rPr>
        <w:br w:type="page"/>
      </w:r>
    </w:p>
    <w:tbl>
      <w:tblPr>
        <w:tblW w:w="5007" w:type="pct"/>
        <w:tblLook w:val="04A0" w:firstRow="1" w:lastRow="0" w:firstColumn="1" w:lastColumn="0" w:noHBand="0" w:noVBand="1"/>
      </w:tblPr>
      <w:tblGrid>
        <w:gridCol w:w="1878"/>
        <w:gridCol w:w="1626"/>
        <w:gridCol w:w="1626"/>
        <w:gridCol w:w="1626"/>
        <w:gridCol w:w="1626"/>
        <w:gridCol w:w="1629"/>
      </w:tblGrid>
      <w:tr w:rsidR="00157990" w:rsidRPr="008E1307" w14:paraId="43DC049D" w14:textId="77777777" w:rsidTr="00884EF7">
        <w:trPr>
          <w:trHeight w:val="442"/>
        </w:trPr>
        <w:tc>
          <w:tcPr>
            <w:tcW w:w="5000" w:type="pct"/>
            <w:gridSpan w:val="6"/>
            <w:tcBorders>
              <w:top w:val="single" w:sz="8" w:space="0" w:color="auto"/>
              <w:left w:val="single" w:sz="8" w:space="0" w:color="auto"/>
              <w:bottom w:val="nil"/>
              <w:right w:val="single" w:sz="8" w:space="0" w:color="000000"/>
            </w:tcBorders>
            <w:shd w:val="clear" w:color="auto" w:fill="auto"/>
            <w:noWrap/>
            <w:vAlign w:val="center"/>
            <w:hideMark/>
          </w:tcPr>
          <w:p w14:paraId="58E427E9" w14:textId="3EAFB1AE" w:rsidR="00157990" w:rsidRPr="008E1307" w:rsidRDefault="00157990" w:rsidP="00157990">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lastRenderedPageBreak/>
              <w:t>Table V. Cost totals, averages, and percents by ACA coverage availability options*</w:t>
            </w:r>
          </w:p>
        </w:tc>
      </w:tr>
      <w:tr w:rsidR="00157990" w:rsidRPr="008E1307" w14:paraId="132692E5" w14:textId="77777777" w:rsidTr="00884EF7">
        <w:trPr>
          <w:trHeight w:val="490"/>
        </w:trPr>
        <w:tc>
          <w:tcPr>
            <w:tcW w:w="938" w:type="pct"/>
            <w:tcBorders>
              <w:top w:val="nil"/>
              <w:left w:val="single" w:sz="8" w:space="0" w:color="auto"/>
              <w:bottom w:val="nil"/>
              <w:right w:val="nil"/>
            </w:tcBorders>
            <w:shd w:val="clear" w:color="auto" w:fill="auto"/>
            <w:vAlign w:val="center"/>
            <w:hideMark/>
          </w:tcPr>
          <w:p w14:paraId="6AA9D53F" w14:textId="77777777" w:rsidR="00157990" w:rsidRPr="008E1307" w:rsidRDefault="00157990" w:rsidP="00157990">
            <w:pPr>
              <w:spacing w:after="0"/>
              <w:jc w:val="center"/>
              <w:rPr>
                <w:rFonts w:asciiTheme="minorHAnsi" w:eastAsia="Times New Roman" w:hAnsiTheme="minorHAnsi" w:cs="Calibri"/>
                <w:sz w:val="22"/>
                <w:szCs w:val="22"/>
              </w:rPr>
            </w:pPr>
            <w:r w:rsidRPr="008E1307">
              <w:rPr>
                <w:rFonts w:asciiTheme="minorHAnsi" w:eastAsia="Times New Roman" w:hAnsiTheme="minorHAnsi" w:cs="Calibri"/>
                <w:sz w:val="22"/>
                <w:szCs w:val="22"/>
              </w:rPr>
              <w:t> </w:t>
            </w:r>
          </w:p>
        </w:tc>
        <w:tc>
          <w:tcPr>
            <w:tcW w:w="812" w:type="pct"/>
            <w:tcBorders>
              <w:top w:val="single" w:sz="4" w:space="0" w:color="auto"/>
              <w:left w:val="nil"/>
              <w:bottom w:val="single" w:sz="4" w:space="0" w:color="auto"/>
              <w:right w:val="nil"/>
            </w:tcBorders>
            <w:shd w:val="clear" w:color="auto" w:fill="auto"/>
            <w:vAlign w:val="center"/>
            <w:hideMark/>
          </w:tcPr>
          <w:p w14:paraId="1066C667"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Dependent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0-17)</w:t>
            </w:r>
          </w:p>
        </w:tc>
        <w:tc>
          <w:tcPr>
            <w:tcW w:w="812" w:type="pct"/>
            <w:tcBorders>
              <w:top w:val="single" w:sz="4" w:space="0" w:color="auto"/>
              <w:left w:val="nil"/>
              <w:bottom w:val="single" w:sz="4" w:space="0" w:color="auto"/>
              <w:right w:val="nil"/>
            </w:tcBorders>
            <w:shd w:val="clear" w:color="auto" w:fill="auto"/>
            <w:vAlign w:val="center"/>
            <w:hideMark/>
          </w:tcPr>
          <w:p w14:paraId="51D62234"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Catastrophic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18-29)</w:t>
            </w:r>
          </w:p>
        </w:tc>
        <w:tc>
          <w:tcPr>
            <w:tcW w:w="812" w:type="pct"/>
            <w:tcBorders>
              <w:top w:val="single" w:sz="4" w:space="0" w:color="auto"/>
              <w:left w:val="nil"/>
              <w:bottom w:val="single" w:sz="4" w:space="0" w:color="auto"/>
              <w:right w:val="nil"/>
            </w:tcBorders>
            <w:shd w:val="clear" w:color="auto" w:fill="auto"/>
            <w:vAlign w:val="center"/>
            <w:hideMark/>
          </w:tcPr>
          <w:p w14:paraId="1EEAF4FE"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Marketplace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30-64)</w:t>
            </w:r>
          </w:p>
        </w:tc>
        <w:tc>
          <w:tcPr>
            <w:tcW w:w="812" w:type="pct"/>
            <w:tcBorders>
              <w:top w:val="single" w:sz="4" w:space="0" w:color="auto"/>
              <w:left w:val="nil"/>
              <w:bottom w:val="single" w:sz="4" w:space="0" w:color="auto"/>
              <w:right w:val="nil"/>
            </w:tcBorders>
            <w:shd w:val="clear" w:color="auto" w:fill="auto"/>
            <w:vAlign w:val="center"/>
            <w:hideMark/>
          </w:tcPr>
          <w:p w14:paraId="36C56E6B"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Medicare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65+)</w:t>
            </w:r>
          </w:p>
        </w:tc>
        <w:tc>
          <w:tcPr>
            <w:tcW w:w="813" w:type="pct"/>
            <w:tcBorders>
              <w:top w:val="single" w:sz="4" w:space="0" w:color="auto"/>
              <w:left w:val="nil"/>
              <w:bottom w:val="single" w:sz="4" w:space="0" w:color="auto"/>
              <w:right w:val="single" w:sz="8" w:space="0" w:color="auto"/>
            </w:tcBorders>
            <w:shd w:val="clear" w:color="auto" w:fill="auto"/>
            <w:vAlign w:val="center"/>
            <w:hideMark/>
          </w:tcPr>
          <w:p w14:paraId="4F29D6E9"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All Ages</w:t>
            </w:r>
          </w:p>
        </w:tc>
      </w:tr>
      <w:tr w:rsidR="00157990" w:rsidRPr="008E1307" w14:paraId="7B52E7AA" w14:textId="77777777" w:rsidTr="00884EF7">
        <w:trPr>
          <w:trHeight w:val="239"/>
        </w:trPr>
        <w:tc>
          <w:tcPr>
            <w:tcW w:w="938" w:type="pct"/>
            <w:tcBorders>
              <w:top w:val="single" w:sz="4" w:space="0" w:color="auto"/>
              <w:left w:val="single" w:sz="8" w:space="0" w:color="auto"/>
              <w:bottom w:val="nil"/>
              <w:right w:val="nil"/>
            </w:tcBorders>
            <w:shd w:val="clear" w:color="auto" w:fill="auto"/>
            <w:noWrap/>
            <w:vAlign w:val="center"/>
            <w:hideMark/>
          </w:tcPr>
          <w:p w14:paraId="49DE2465"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Population</w:t>
            </w:r>
          </w:p>
        </w:tc>
        <w:tc>
          <w:tcPr>
            <w:tcW w:w="812" w:type="pct"/>
            <w:tcBorders>
              <w:top w:val="nil"/>
              <w:left w:val="nil"/>
              <w:bottom w:val="nil"/>
              <w:right w:val="nil"/>
            </w:tcBorders>
            <w:shd w:val="clear" w:color="auto" w:fill="auto"/>
            <w:noWrap/>
            <w:vAlign w:val="center"/>
            <w:hideMark/>
          </w:tcPr>
          <w:p w14:paraId="6A27224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5208</w:t>
            </w:r>
          </w:p>
        </w:tc>
        <w:tc>
          <w:tcPr>
            <w:tcW w:w="812" w:type="pct"/>
            <w:tcBorders>
              <w:top w:val="nil"/>
              <w:left w:val="nil"/>
              <w:bottom w:val="nil"/>
              <w:right w:val="nil"/>
            </w:tcBorders>
            <w:shd w:val="clear" w:color="auto" w:fill="auto"/>
            <w:noWrap/>
            <w:vAlign w:val="center"/>
            <w:hideMark/>
          </w:tcPr>
          <w:p w14:paraId="7A5B446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2557</w:t>
            </w:r>
          </w:p>
        </w:tc>
        <w:tc>
          <w:tcPr>
            <w:tcW w:w="812" w:type="pct"/>
            <w:tcBorders>
              <w:top w:val="nil"/>
              <w:left w:val="nil"/>
              <w:bottom w:val="nil"/>
              <w:right w:val="nil"/>
            </w:tcBorders>
            <w:shd w:val="clear" w:color="auto" w:fill="auto"/>
            <w:noWrap/>
            <w:vAlign w:val="center"/>
            <w:hideMark/>
          </w:tcPr>
          <w:p w14:paraId="1A5CF7B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6896</w:t>
            </w:r>
          </w:p>
        </w:tc>
        <w:tc>
          <w:tcPr>
            <w:tcW w:w="812" w:type="pct"/>
            <w:tcBorders>
              <w:top w:val="nil"/>
              <w:left w:val="nil"/>
              <w:bottom w:val="nil"/>
              <w:right w:val="nil"/>
            </w:tcBorders>
            <w:shd w:val="clear" w:color="auto" w:fill="auto"/>
            <w:noWrap/>
            <w:vAlign w:val="center"/>
            <w:hideMark/>
          </w:tcPr>
          <w:p w14:paraId="7B990E7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339</w:t>
            </w:r>
          </w:p>
        </w:tc>
        <w:tc>
          <w:tcPr>
            <w:tcW w:w="813" w:type="pct"/>
            <w:tcBorders>
              <w:top w:val="nil"/>
              <w:left w:val="nil"/>
              <w:bottom w:val="nil"/>
              <w:right w:val="single" w:sz="8" w:space="0" w:color="auto"/>
            </w:tcBorders>
            <w:shd w:val="clear" w:color="auto" w:fill="auto"/>
            <w:noWrap/>
            <w:vAlign w:val="center"/>
            <w:hideMark/>
          </w:tcPr>
          <w:p w14:paraId="39CCA7E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15000</w:t>
            </w:r>
          </w:p>
        </w:tc>
      </w:tr>
      <w:tr w:rsidR="00157990" w:rsidRPr="008E1307" w14:paraId="64910D7E"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68E6A48"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12" w:type="pct"/>
            <w:tcBorders>
              <w:top w:val="nil"/>
              <w:left w:val="nil"/>
              <w:bottom w:val="nil"/>
              <w:right w:val="nil"/>
            </w:tcBorders>
            <w:shd w:val="clear" w:color="auto" w:fill="auto"/>
            <w:noWrap/>
            <w:vAlign w:val="center"/>
            <w:hideMark/>
          </w:tcPr>
          <w:p w14:paraId="10901A03"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03428E01"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2B4E7696"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C281123"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282668D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4234776D"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2BBF919C"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Total</w:t>
            </w:r>
          </w:p>
        </w:tc>
        <w:tc>
          <w:tcPr>
            <w:tcW w:w="812" w:type="pct"/>
            <w:tcBorders>
              <w:top w:val="nil"/>
              <w:left w:val="nil"/>
              <w:bottom w:val="nil"/>
              <w:right w:val="nil"/>
            </w:tcBorders>
            <w:shd w:val="clear" w:color="auto" w:fill="auto"/>
            <w:noWrap/>
            <w:vAlign w:val="center"/>
            <w:hideMark/>
          </w:tcPr>
          <w:p w14:paraId="6F41EAA8"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4ED418D4"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39C96923"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ED341AC"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098B5B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7B532573"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71D67A65"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4C2260D0"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$28,876,964</w:t>
            </w:r>
          </w:p>
        </w:tc>
        <w:tc>
          <w:tcPr>
            <w:tcW w:w="812" w:type="pct"/>
            <w:tcBorders>
              <w:top w:val="nil"/>
              <w:left w:val="nil"/>
              <w:bottom w:val="nil"/>
              <w:right w:val="nil"/>
            </w:tcBorders>
            <w:shd w:val="clear" w:color="auto" w:fill="auto"/>
            <w:noWrap/>
            <w:vAlign w:val="center"/>
            <w:hideMark/>
          </w:tcPr>
          <w:p w14:paraId="5DE8E99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$26,363,529</w:t>
            </w:r>
          </w:p>
        </w:tc>
        <w:tc>
          <w:tcPr>
            <w:tcW w:w="812" w:type="pct"/>
            <w:tcBorders>
              <w:top w:val="nil"/>
              <w:left w:val="nil"/>
              <w:bottom w:val="nil"/>
              <w:right w:val="nil"/>
            </w:tcBorders>
            <w:shd w:val="clear" w:color="auto" w:fill="auto"/>
            <w:noWrap/>
            <w:vAlign w:val="center"/>
            <w:hideMark/>
          </w:tcPr>
          <w:p w14:paraId="4B566AD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$164,810,102</w:t>
            </w:r>
          </w:p>
        </w:tc>
        <w:tc>
          <w:tcPr>
            <w:tcW w:w="812" w:type="pct"/>
            <w:tcBorders>
              <w:top w:val="nil"/>
              <w:left w:val="nil"/>
              <w:bottom w:val="nil"/>
              <w:right w:val="nil"/>
            </w:tcBorders>
            <w:shd w:val="clear" w:color="auto" w:fill="auto"/>
            <w:noWrap/>
            <w:vAlign w:val="center"/>
            <w:hideMark/>
          </w:tcPr>
          <w:p w14:paraId="4D4DDF9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$26,103,403</w:t>
            </w:r>
          </w:p>
        </w:tc>
        <w:tc>
          <w:tcPr>
            <w:tcW w:w="813" w:type="pct"/>
            <w:tcBorders>
              <w:top w:val="nil"/>
              <w:left w:val="nil"/>
              <w:bottom w:val="nil"/>
              <w:right w:val="single" w:sz="8" w:space="0" w:color="auto"/>
            </w:tcBorders>
            <w:shd w:val="clear" w:color="auto" w:fill="auto"/>
            <w:noWrap/>
            <w:vAlign w:val="center"/>
            <w:hideMark/>
          </w:tcPr>
          <w:p w14:paraId="3F88B9F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$246,153,998</w:t>
            </w:r>
          </w:p>
        </w:tc>
      </w:tr>
      <w:tr w:rsidR="00157990" w:rsidRPr="008E1307" w14:paraId="39B67FD1"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FD09C1F"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4102281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1071</w:t>
            </w:r>
          </w:p>
        </w:tc>
        <w:tc>
          <w:tcPr>
            <w:tcW w:w="812" w:type="pct"/>
            <w:tcBorders>
              <w:top w:val="nil"/>
              <w:left w:val="nil"/>
              <w:bottom w:val="nil"/>
              <w:right w:val="nil"/>
            </w:tcBorders>
            <w:shd w:val="clear" w:color="auto" w:fill="auto"/>
            <w:noWrap/>
            <w:vAlign w:val="center"/>
            <w:hideMark/>
          </w:tcPr>
          <w:p w14:paraId="0AC95B4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1203</w:t>
            </w:r>
          </w:p>
        </w:tc>
        <w:tc>
          <w:tcPr>
            <w:tcW w:w="812" w:type="pct"/>
            <w:tcBorders>
              <w:top w:val="nil"/>
              <w:left w:val="nil"/>
              <w:bottom w:val="nil"/>
              <w:right w:val="nil"/>
            </w:tcBorders>
            <w:shd w:val="clear" w:color="auto" w:fill="auto"/>
            <w:noWrap/>
            <w:vAlign w:val="center"/>
            <w:hideMark/>
          </w:tcPr>
          <w:p w14:paraId="69C00AA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9494</w:t>
            </w:r>
          </w:p>
        </w:tc>
        <w:tc>
          <w:tcPr>
            <w:tcW w:w="812" w:type="pct"/>
            <w:tcBorders>
              <w:top w:val="nil"/>
              <w:left w:val="nil"/>
              <w:bottom w:val="nil"/>
              <w:right w:val="nil"/>
            </w:tcBorders>
            <w:shd w:val="clear" w:color="auto" w:fill="auto"/>
            <w:noWrap/>
            <w:vAlign w:val="center"/>
            <w:hideMark/>
          </w:tcPr>
          <w:p w14:paraId="0765DB00"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978</w:t>
            </w:r>
          </w:p>
        </w:tc>
        <w:tc>
          <w:tcPr>
            <w:tcW w:w="813" w:type="pct"/>
            <w:tcBorders>
              <w:top w:val="nil"/>
              <w:left w:val="nil"/>
              <w:bottom w:val="nil"/>
              <w:right w:val="single" w:sz="8" w:space="0" w:color="auto"/>
            </w:tcBorders>
            <w:shd w:val="clear" w:color="auto" w:fill="auto"/>
            <w:noWrap/>
            <w:vAlign w:val="center"/>
            <w:hideMark/>
          </w:tcPr>
          <w:p w14:paraId="698F4E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12746</w:t>
            </w:r>
          </w:p>
        </w:tc>
      </w:tr>
      <w:tr w:rsidR="00157990" w:rsidRPr="008E1307" w14:paraId="48CD5F6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2952579C"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56F7B79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3034</w:t>
            </w:r>
          </w:p>
        </w:tc>
        <w:tc>
          <w:tcPr>
            <w:tcW w:w="812" w:type="pct"/>
            <w:tcBorders>
              <w:top w:val="nil"/>
              <w:left w:val="nil"/>
              <w:bottom w:val="nil"/>
              <w:right w:val="nil"/>
            </w:tcBorders>
            <w:shd w:val="clear" w:color="auto" w:fill="auto"/>
            <w:noWrap/>
            <w:vAlign w:val="center"/>
            <w:hideMark/>
          </w:tcPr>
          <w:p w14:paraId="784BE7D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2019</w:t>
            </w:r>
          </w:p>
        </w:tc>
        <w:tc>
          <w:tcPr>
            <w:tcW w:w="812" w:type="pct"/>
            <w:tcBorders>
              <w:top w:val="nil"/>
              <w:left w:val="nil"/>
              <w:bottom w:val="nil"/>
              <w:right w:val="nil"/>
            </w:tcBorders>
            <w:shd w:val="clear" w:color="auto" w:fill="auto"/>
            <w:noWrap/>
            <w:vAlign w:val="center"/>
            <w:hideMark/>
          </w:tcPr>
          <w:p w14:paraId="130ADD5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10244</w:t>
            </w:r>
          </w:p>
        </w:tc>
        <w:tc>
          <w:tcPr>
            <w:tcW w:w="812" w:type="pct"/>
            <w:tcBorders>
              <w:top w:val="nil"/>
              <w:left w:val="nil"/>
              <w:bottom w:val="nil"/>
              <w:right w:val="nil"/>
            </w:tcBorders>
            <w:shd w:val="clear" w:color="auto" w:fill="auto"/>
            <w:noWrap/>
            <w:vAlign w:val="center"/>
            <w:hideMark/>
          </w:tcPr>
          <w:p w14:paraId="22DABE6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987</w:t>
            </w:r>
          </w:p>
        </w:tc>
        <w:tc>
          <w:tcPr>
            <w:tcW w:w="813" w:type="pct"/>
            <w:tcBorders>
              <w:top w:val="nil"/>
              <w:left w:val="nil"/>
              <w:bottom w:val="nil"/>
              <w:right w:val="single" w:sz="8" w:space="0" w:color="auto"/>
            </w:tcBorders>
            <w:shd w:val="clear" w:color="auto" w:fill="auto"/>
            <w:noWrap/>
            <w:vAlign w:val="center"/>
            <w:hideMark/>
          </w:tcPr>
          <w:p w14:paraId="3CC7672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16284</w:t>
            </w:r>
          </w:p>
        </w:tc>
      </w:tr>
      <w:tr w:rsidR="00157990" w:rsidRPr="008E1307" w14:paraId="283E105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9D174D2"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12" w:type="pct"/>
            <w:tcBorders>
              <w:top w:val="nil"/>
              <w:left w:val="nil"/>
              <w:bottom w:val="nil"/>
              <w:right w:val="nil"/>
            </w:tcBorders>
            <w:shd w:val="clear" w:color="auto" w:fill="auto"/>
            <w:noWrap/>
            <w:vAlign w:val="center"/>
            <w:hideMark/>
          </w:tcPr>
          <w:p w14:paraId="437B4892"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6B9BF04A"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585E2C42"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2FD4D70A"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134A66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60868081"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700553C2" w14:textId="708BA75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Per Benefic</w:t>
            </w:r>
            <w:r w:rsidR="00841A98" w:rsidRPr="008E1307">
              <w:rPr>
                <w:rFonts w:asciiTheme="minorHAnsi" w:eastAsia="Times New Roman" w:hAnsiTheme="minorHAnsi" w:cs="Calibri"/>
                <w:b/>
                <w:bCs/>
                <w:sz w:val="22"/>
                <w:szCs w:val="22"/>
              </w:rPr>
              <w:t>i</w:t>
            </w:r>
            <w:r w:rsidRPr="008E1307">
              <w:rPr>
                <w:rFonts w:asciiTheme="minorHAnsi" w:eastAsia="Times New Roman" w:hAnsiTheme="minorHAnsi" w:cs="Calibri"/>
                <w:b/>
                <w:bCs/>
                <w:sz w:val="22"/>
                <w:szCs w:val="22"/>
              </w:rPr>
              <w:t>ary</w:t>
            </w:r>
          </w:p>
        </w:tc>
        <w:tc>
          <w:tcPr>
            <w:tcW w:w="812" w:type="pct"/>
            <w:tcBorders>
              <w:top w:val="nil"/>
              <w:left w:val="nil"/>
              <w:bottom w:val="nil"/>
              <w:right w:val="nil"/>
            </w:tcBorders>
            <w:shd w:val="clear" w:color="auto" w:fill="auto"/>
            <w:noWrap/>
            <w:vAlign w:val="center"/>
            <w:hideMark/>
          </w:tcPr>
          <w:p w14:paraId="176B333D"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06996515"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45C799C4"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1562C474"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09175E3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31863B32"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22FCBFDD"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5559437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$5,545</w:t>
            </w:r>
          </w:p>
        </w:tc>
        <w:tc>
          <w:tcPr>
            <w:tcW w:w="812" w:type="pct"/>
            <w:tcBorders>
              <w:top w:val="nil"/>
              <w:left w:val="nil"/>
              <w:bottom w:val="nil"/>
              <w:right w:val="nil"/>
            </w:tcBorders>
            <w:shd w:val="clear" w:color="auto" w:fill="auto"/>
            <w:noWrap/>
            <w:vAlign w:val="center"/>
            <w:hideMark/>
          </w:tcPr>
          <w:p w14:paraId="5C7D55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$10,310</w:t>
            </w:r>
          </w:p>
        </w:tc>
        <w:tc>
          <w:tcPr>
            <w:tcW w:w="812" w:type="pct"/>
            <w:tcBorders>
              <w:top w:val="nil"/>
              <w:left w:val="nil"/>
              <w:bottom w:val="nil"/>
              <w:right w:val="nil"/>
            </w:tcBorders>
            <w:shd w:val="clear" w:color="auto" w:fill="auto"/>
            <w:noWrap/>
            <w:vAlign w:val="center"/>
            <w:hideMark/>
          </w:tcPr>
          <w:p w14:paraId="4F39038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$23,899</w:t>
            </w:r>
          </w:p>
        </w:tc>
        <w:tc>
          <w:tcPr>
            <w:tcW w:w="812" w:type="pct"/>
            <w:tcBorders>
              <w:top w:val="nil"/>
              <w:left w:val="nil"/>
              <w:bottom w:val="nil"/>
              <w:right w:val="nil"/>
            </w:tcBorders>
            <w:shd w:val="clear" w:color="auto" w:fill="auto"/>
            <w:noWrap/>
            <w:vAlign w:val="center"/>
            <w:hideMark/>
          </w:tcPr>
          <w:p w14:paraId="594A03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$77,001</w:t>
            </w:r>
          </w:p>
        </w:tc>
        <w:tc>
          <w:tcPr>
            <w:tcW w:w="813" w:type="pct"/>
            <w:tcBorders>
              <w:top w:val="nil"/>
              <w:left w:val="nil"/>
              <w:bottom w:val="nil"/>
              <w:right w:val="single" w:sz="8" w:space="0" w:color="auto"/>
            </w:tcBorders>
            <w:shd w:val="clear" w:color="auto" w:fill="auto"/>
            <w:noWrap/>
            <w:vAlign w:val="center"/>
            <w:hideMark/>
          </w:tcPr>
          <w:p w14:paraId="0767BB3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$29,189</w:t>
            </w:r>
          </w:p>
        </w:tc>
      </w:tr>
      <w:tr w:rsidR="00157990" w:rsidRPr="008E1307" w14:paraId="36696DFA"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599BD9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760A1354"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0.21</w:t>
            </w:r>
          </w:p>
        </w:tc>
        <w:tc>
          <w:tcPr>
            <w:tcW w:w="812" w:type="pct"/>
            <w:tcBorders>
              <w:top w:val="nil"/>
              <w:left w:val="nil"/>
              <w:bottom w:val="nil"/>
              <w:right w:val="nil"/>
            </w:tcBorders>
            <w:shd w:val="clear" w:color="auto" w:fill="auto"/>
            <w:noWrap/>
            <w:vAlign w:val="center"/>
            <w:hideMark/>
          </w:tcPr>
          <w:p w14:paraId="7B946B6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0.47</w:t>
            </w:r>
          </w:p>
        </w:tc>
        <w:tc>
          <w:tcPr>
            <w:tcW w:w="812" w:type="pct"/>
            <w:tcBorders>
              <w:top w:val="nil"/>
              <w:left w:val="nil"/>
              <w:bottom w:val="nil"/>
              <w:right w:val="nil"/>
            </w:tcBorders>
            <w:shd w:val="clear" w:color="auto" w:fill="auto"/>
            <w:noWrap/>
            <w:vAlign w:val="center"/>
            <w:hideMark/>
          </w:tcPr>
          <w:p w14:paraId="07EA6D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1.38</w:t>
            </w:r>
          </w:p>
        </w:tc>
        <w:tc>
          <w:tcPr>
            <w:tcW w:w="812" w:type="pct"/>
            <w:tcBorders>
              <w:top w:val="nil"/>
              <w:left w:val="nil"/>
              <w:bottom w:val="nil"/>
              <w:right w:val="nil"/>
            </w:tcBorders>
            <w:shd w:val="clear" w:color="auto" w:fill="auto"/>
            <w:noWrap/>
            <w:vAlign w:val="center"/>
            <w:hideMark/>
          </w:tcPr>
          <w:p w14:paraId="476A0CF7"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2.88</w:t>
            </w:r>
          </w:p>
        </w:tc>
        <w:tc>
          <w:tcPr>
            <w:tcW w:w="813" w:type="pct"/>
            <w:tcBorders>
              <w:top w:val="nil"/>
              <w:left w:val="nil"/>
              <w:bottom w:val="nil"/>
              <w:right w:val="single" w:sz="8" w:space="0" w:color="auto"/>
            </w:tcBorders>
            <w:shd w:val="clear" w:color="auto" w:fill="auto"/>
            <w:noWrap/>
            <w:vAlign w:val="center"/>
            <w:hideMark/>
          </w:tcPr>
          <w:p w14:paraId="4A80487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1.23</w:t>
            </w:r>
          </w:p>
        </w:tc>
      </w:tr>
      <w:tr w:rsidR="00157990" w:rsidRPr="008E1307" w14:paraId="1B3ACB04"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5ACDAC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5350C3C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0.58</w:t>
            </w:r>
          </w:p>
        </w:tc>
        <w:tc>
          <w:tcPr>
            <w:tcW w:w="812" w:type="pct"/>
            <w:tcBorders>
              <w:top w:val="nil"/>
              <w:left w:val="nil"/>
              <w:bottom w:val="nil"/>
              <w:right w:val="nil"/>
            </w:tcBorders>
            <w:shd w:val="clear" w:color="auto" w:fill="auto"/>
            <w:noWrap/>
            <w:vAlign w:val="center"/>
            <w:hideMark/>
          </w:tcPr>
          <w:p w14:paraId="5C74775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0.79</w:t>
            </w:r>
          </w:p>
        </w:tc>
        <w:tc>
          <w:tcPr>
            <w:tcW w:w="812" w:type="pct"/>
            <w:tcBorders>
              <w:top w:val="nil"/>
              <w:left w:val="nil"/>
              <w:bottom w:val="nil"/>
              <w:right w:val="nil"/>
            </w:tcBorders>
            <w:shd w:val="clear" w:color="auto" w:fill="auto"/>
            <w:noWrap/>
            <w:vAlign w:val="center"/>
            <w:hideMark/>
          </w:tcPr>
          <w:p w14:paraId="7B127B8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1.49</w:t>
            </w:r>
          </w:p>
        </w:tc>
        <w:tc>
          <w:tcPr>
            <w:tcW w:w="812" w:type="pct"/>
            <w:tcBorders>
              <w:top w:val="nil"/>
              <w:left w:val="nil"/>
              <w:bottom w:val="nil"/>
              <w:right w:val="nil"/>
            </w:tcBorders>
            <w:shd w:val="clear" w:color="auto" w:fill="auto"/>
            <w:noWrap/>
            <w:vAlign w:val="center"/>
            <w:hideMark/>
          </w:tcPr>
          <w:p w14:paraId="0F1AA63E"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w:t>
            </w:r>
          </w:p>
        </w:tc>
        <w:tc>
          <w:tcPr>
            <w:tcW w:w="813" w:type="pct"/>
            <w:tcBorders>
              <w:top w:val="nil"/>
              <w:left w:val="nil"/>
              <w:bottom w:val="nil"/>
              <w:right w:val="single" w:sz="8" w:space="0" w:color="auto"/>
            </w:tcBorders>
            <w:shd w:val="clear" w:color="auto" w:fill="auto"/>
            <w:noWrap/>
            <w:vAlign w:val="center"/>
            <w:hideMark/>
          </w:tcPr>
          <w:p w14:paraId="0C68601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1.44</w:t>
            </w:r>
          </w:p>
        </w:tc>
      </w:tr>
      <w:tr w:rsidR="00157990" w:rsidRPr="008E1307" w14:paraId="2903223E"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98B1393" w14:textId="77777777" w:rsidR="00157990" w:rsidRPr="008E1307" w:rsidRDefault="00157990" w:rsidP="00157990">
            <w:pPr>
              <w:spacing w:after="0"/>
              <w:rPr>
                <w:rFonts w:asciiTheme="minorHAnsi" w:eastAsia="Times New Roman" w:hAnsiTheme="minorHAnsi" w:cs="Calibri"/>
                <w:sz w:val="22"/>
                <w:szCs w:val="22"/>
              </w:rPr>
            </w:pPr>
            <w:r w:rsidRPr="008E1307">
              <w:rPr>
                <w:rFonts w:asciiTheme="minorHAnsi" w:eastAsia="Times New Roman" w:hAnsiTheme="minorHAnsi" w:cs="Calibri"/>
                <w:sz w:val="22"/>
                <w:szCs w:val="22"/>
              </w:rPr>
              <w:t> </w:t>
            </w:r>
          </w:p>
        </w:tc>
        <w:tc>
          <w:tcPr>
            <w:tcW w:w="812" w:type="pct"/>
            <w:tcBorders>
              <w:top w:val="nil"/>
              <w:left w:val="nil"/>
              <w:bottom w:val="nil"/>
              <w:right w:val="nil"/>
            </w:tcBorders>
            <w:shd w:val="clear" w:color="auto" w:fill="auto"/>
            <w:noWrap/>
            <w:vAlign w:val="center"/>
            <w:hideMark/>
          </w:tcPr>
          <w:p w14:paraId="277AADF2" w14:textId="77777777" w:rsidR="00157990" w:rsidRPr="008E1307" w:rsidRDefault="00157990" w:rsidP="00157990">
            <w:pPr>
              <w:spacing w:after="0"/>
              <w:rPr>
                <w:rFonts w:asciiTheme="minorHAnsi" w:eastAsia="Times New Roman" w:hAnsiTheme="minorHAnsi" w:cs="Calibri"/>
                <w:sz w:val="22"/>
                <w:szCs w:val="22"/>
              </w:rPr>
            </w:pPr>
          </w:p>
        </w:tc>
        <w:tc>
          <w:tcPr>
            <w:tcW w:w="812" w:type="pct"/>
            <w:tcBorders>
              <w:top w:val="nil"/>
              <w:left w:val="nil"/>
              <w:bottom w:val="nil"/>
              <w:right w:val="nil"/>
            </w:tcBorders>
            <w:shd w:val="clear" w:color="auto" w:fill="auto"/>
            <w:noWrap/>
            <w:vAlign w:val="center"/>
            <w:hideMark/>
          </w:tcPr>
          <w:p w14:paraId="286FD197"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64C85BEE"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57B9DA3"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225B70C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39170A66"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78458015"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Percent of Total</w:t>
            </w:r>
          </w:p>
        </w:tc>
        <w:tc>
          <w:tcPr>
            <w:tcW w:w="812" w:type="pct"/>
            <w:tcBorders>
              <w:top w:val="nil"/>
              <w:left w:val="nil"/>
              <w:bottom w:val="nil"/>
              <w:right w:val="nil"/>
            </w:tcBorders>
            <w:shd w:val="clear" w:color="auto" w:fill="auto"/>
            <w:noWrap/>
            <w:vAlign w:val="center"/>
            <w:hideMark/>
          </w:tcPr>
          <w:p w14:paraId="1D4FA47C"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1365F075"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48C66FF3"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FC1A6FF"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43309027"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4C4D9CF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43F6C9EA"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6DACEE3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11.7%</w:t>
            </w:r>
          </w:p>
        </w:tc>
        <w:tc>
          <w:tcPr>
            <w:tcW w:w="812" w:type="pct"/>
            <w:tcBorders>
              <w:top w:val="nil"/>
              <w:left w:val="nil"/>
              <w:bottom w:val="nil"/>
              <w:right w:val="nil"/>
            </w:tcBorders>
            <w:shd w:val="clear" w:color="auto" w:fill="auto"/>
            <w:noWrap/>
            <w:vAlign w:val="center"/>
            <w:hideMark/>
          </w:tcPr>
          <w:p w14:paraId="1E3AEC5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10.7%</w:t>
            </w:r>
          </w:p>
        </w:tc>
        <w:tc>
          <w:tcPr>
            <w:tcW w:w="812" w:type="pct"/>
            <w:tcBorders>
              <w:top w:val="nil"/>
              <w:left w:val="nil"/>
              <w:bottom w:val="nil"/>
              <w:right w:val="nil"/>
            </w:tcBorders>
            <w:shd w:val="clear" w:color="auto" w:fill="auto"/>
            <w:noWrap/>
            <w:vAlign w:val="center"/>
            <w:hideMark/>
          </w:tcPr>
          <w:p w14:paraId="5589F9A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67.0%</w:t>
            </w:r>
          </w:p>
        </w:tc>
        <w:tc>
          <w:tcPr>
            <w:tcW w:w="812" w:type="pct"/>
            <w:tcBorders>
              <w:top w:val="nil"/>
              <w:left w:val="nil"/>
              <w:bottom w:val="nil"/>
              <w:right w:val="nil"/>
            </w:tcBorders>
            <w:shd w:val="clear" w:color="auto" w:fill="auto"/>
            <w:noWrap/>
            <w:vAlign w:val="center"/>
            <w:hideMark/>
          </w:tcPr>
          <w:p w14:paraId="293B8E61"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10.6%</w:t>
            </w:r>
          </w:p>
        </w:tc>
        <w:tc>
          <w:tcPr>
            <w:tcW w:w="813" w:type="pct"/>
            <w:tcBorders>
              <w:top w:val="nil"/>
              <w:left w:val="nil"/>
              <w:bottom w:val="nil"/>
              <w:right w:val="single" w:sz="8" w:space="0" w:color="auto"/>
            </w:tcBorders>
            <w:shd w:val="clear" w:color="auto" w:fill="auto"/>
            <w:noWrap/>
            <w:vAlign w:val="center"/>
            <w:hideMark/>
          </w:tcPr>
          <w:p w14:paraId="6CD1EBB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1EE9D232"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588B410A"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714AF4E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8.4%</w:t>
            </w:r>
          </w:p>
        </w:tc>
        <w:tc>
          <w:tcPr>
            <w:tcW w:w="812" w:type="pct"/>
            <w:tcBorders>
              <w:top w:val="nil"/>
              <w:left w:val="nil"/>
              <w:bottom w:val="nil"/>
              <w:right w:val="nil"/>
            </w:tcBorders>
            <w:shd w:val="clear" w:color="auto" w:fill="auto"/>
            <w:noWrap/>
            <w:vAlign w:val="center"/>
            <w:hideMark/>
          </w:tcPr>
          <w:p w14:paraId="63A1F45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w:t>
            </w:r>
          </w:p>
        </w:tc>
        <w:tc>
          <w:tcPr>
            <w:tcW w:w="812" w:type="pct"/>
            <w:tcBorders>
              <w:top w:val="nil"/>
              <w:left w:val="nil"/>
              <w:bottom w:val="nil"/>
              <w:right w:val="nil"/>
            </w:tcBorders>
            <w:shd w:val="clear" w:color="auto" w:fill="auto"/>
            <w:noWrap/>
            <w:vAlign w:val="center"/>
            <w:hideMark/>
          </w:tcPr>
          <w:p w14:paraId="5727B73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74.5%</w:t>
            </w:r>
          </w:p>
        </w:tc>
        <w:tc>
          <w:tcPr>
            <w:tcW w:w="812" w:type="pct"/>
            <w:tcBorders>
              <w:top w:val="nil"/>
              <w:left w:val="nil"/>
              <w:bottom w:val="nil"/>
              <w:right w:val="nil"/>
            </w:tcBorders>
            <w:shd w:val="clear" w:color="auto" w:fill="auto"/>
            <w:noWrap/>
            <w:vAlign w:val="center"/>
            <w:hideMark/>
          </w:tcPr>
          <w:p w14:paraId="29ADDF94"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w:t>
            </w:r>
          </w:p>
        </w:tc>
        <w:tc>
          <w:tcPr>
            <w:tcW w:w="813" w:type="pct"/>
            <w:tcBorders>
              <w:top w:val="nil"/>
              <w:left w:val="nil"/>
              <w:bottom w:val="nil"/>
              <w:right w:val="single" w:sz="8" w:space="0" w:color="auto"/>
            </w:tcBorders>
            <w:shd w:val="clear" w:color="auto" w:fill="auto"/>
            <w:noWrap/>
            <w:vAlign w:val="center"/>
            <w:hideMark/>
          </w:tcPr>
          <w:p w14:paraId="0E66F5A1"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3D12E083"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B317E3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04C2CFD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18.6%</w:t>
            </w:r>
          </w:p>
        </w:tc>
        <w:tc>
          <w:tcPr>
            <w:tcW w:w="812" w:type="pct"/>
            <w:tcBorders>
              <w:top w:val="nil"/>
              <w:left w:val="nil"/>
              <w:bottom w:val="nil"/>
              <w:right w:val="nil"/>
            </w:tcBorders>
            <w:shd w:val="clear" w:color="auto" w:fill="auto"/>
            <w:noWrap/>
            <w:vAlign w:val="center"/>
            <w:hideMark/>
          </w:tcPr>
          <w:p w14:paraId="40ACC4E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12.4%</w:t>
            </w:r>
          </w:p>
        </w:tc>
        <w:tc>
          <w:tcPr>
            <w:tcW w:w="812" w:type="pct"/>
            <w:tcBorders>
              <w:top w:val="nil"/>
              <w:left w:val="nil"/>
              <w:bottom w:val="nil"/>
              <w:right w:val="nil"/>
            </w:tcBorders>
            <w:shd w:val="clear" w:color="auto" w:fill="auto"/>
            <w:noWrap/>
            <w:vAlign w:val="center"/>
            <w:hideMark/>
          </w:tcPr>
          <w:p w14:paraId="3F0B6CB3"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62.9%</w:t>
            </w:r>
          </w:p>
        </w:tc>
        <w:tc>
          <w:tcPr>
            <w:tcW w:w="812" w:type="pct"/>
            <w:tcBorders>
              <w:top w:val="nil"/>
              <w:left w:val="nil"/>
              <w:bottom w:val="nil"/>
              <w:right w:val="nil"/>
            </w:tcBorders>
            <w:shd w:val="clear" w:color="auto" w:fill="auto"/>
            <w:noWrap/>
            <w:vAlign w:val="center"/>
            <w:hideMark/>
          </w:tcPr>
          <w:p w14:paraId="3455D623"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6.1%</w:t>
            </w:r>
          </w:p>
        </w:tc>
        <w:tc>
          <w:tcPr>
            <w:tcW w:w="813" w:type="pct"/>
            <w:tcBorders>
              <w:top w:val="nil"/>
              <w:left w:val="nil"/>
              <w:bottom w:val="nil"/>
              <w:right w:val="single" w:sz="8" w:space="0" w:color="auto"/>
            </w:tcBorders>
            <w:shd w:val="clear" w:color="auto" w:fill="auto"/>
            <w:noWrap/>
            <w:vAlign w:val="center"/>
            <w:hideMark/>
          </w:tcPr>
          <w:p w14:paraId="5C04BEA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4CD66BB1" w14:textId="77777777" w:rsidTr="00884EF7">
        <w:trPr>
          <w:trHeight w:val="490"/>
        </w:trPr>
        <w:tc>
          <w:tcPr>
            <w:tcW w:w="5000" w:type="pct"/>
            <w:gridSpan w:val="6"/>
            <w:tcBorders>
              <w:top w:val="nil"/>
              <w:left w:val="single" w:sz="8" w:space="0" w:color="auto"/>
              <w:bottom w:val="single" w:sz="8" w:space="0" w:color="auto"/>
              <w:right w:val="single" w:sz="8" w:space="0" w:color="000000"/>
            </w:tcBorders>
            <w:shd w:val="clear" w:color="auto" w:fill="auto"/>
            <w:noWrap/>
            <w:vAlign w:val="bottom"/>
            <w:hideMark/>
          </w:tcPr>
          <w:p w14:paraId="183BE53F" w14:textId="77777777" w:rsidR="00157990" w:rsidRPr="008E1307" w:rsidRDefault="00157990" w:rsidP="00157990">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*Plan availability is assumed based on age but may not be an accurate option for each beneficiary</w:t>
            </w:r>
          </w:p>
        </w:tc>
      </w:tr>
    </w:tbl>
    <w:p w14:paraId="4D9FB7BE" w14:textId="71A136E8" w:rsidR="00CE3371" w:rsidRPr="008E1307" w:rsidRDefault="00CE3371" w:rsidP="00CE3371">
      <w:pPr>
        <w:pStyle w:val="BodyText"/>
        <w:jc w:val="center"/>
        <w:rPr>
          <w:rFonts w:asciiTheme="minorHAnsi" w:hAnsiTheme="minorHAnsi"/>
          <w:sz w:val="20"/>
          <w:szCs w:val="20"/>
        </w:rPr>
      </w:pPr>
      <w:r w:rsidRPr="008E1307">
        <w:rPr>
          <w:rFonts w:asciiTheme="minorHAnsi" w:hAnsiTheme="minorHAnsi"/>
          <w:sz w:val="20"/>
          <w:szCs w:val="20"/>
        </w:rPr>
        <w:t>Table 5. Cost totals, averages, and percents by ACA coverage availability options</w:t>
      </w:r>
    </w:p>
    <w:p w14:paraId="0C43AB54" w14:textId="24CA58DA" w:rsidR="003D6966" w:rsidRPr="008E1307" w:rsidRDefault="003A576E" w:rsidP="001640F6">
      <w:pPr>
        <w:pStyle w:val="Heading5"/>
        <w:rPr>
          <w:rFonts w:asciiTheme="minorHAnsi" w:hAnsiTheme="minorHAnsi"/>
        </w:rPr>
      </w:pPr>
      <w:r w:rsidRPr="008E1307">
        <w:rPr>
          <w:rFonts w:asciiTheme="minorHAnsi" w:hAnsiTheme="minorHAnsi"/>
        </w:rPr>
        <w:t xml:space="preserve">Observation 3: </w:t>
      </w:r>
      <w:r w:rsidR="001640F6" w:rsidRPr="008E1307">
        <w:rPr>
          <w:rFonts w:asciiTheme="minorHAnsi" w:hAnsiTheme="minorHAnsi"/>
        </w:rPr>
        <w:t>Opportunities for</w:t>
      </w:r>
      <w:r w:rsidR="00D84AF7" w:rsidRPr="008E1307">
        <w:rPr>
          <w:rFonts w:asciiTheme="minorHAnsi" w:hAnsiTheme="minorHAnsi"/>
        </w:rPr>
        <w:t xml:space="preserve"> population specific approaches to controlling patient cost</w:t>
      </w:r>
    </w:p>
    <w:p w14:paraId="2282FE5F" w14:textId="28C529EB" w:rsidR="001640F6" w:rsidRPr="008E1307" w:rsidRDefault="00321B87" w:rsidP="001640F6">
      <w:pPr>
        <w:pStyle w:val="BodyText"/>
        <w:rPr>
          <w:rFonts w:asciiTheme="minorHAnsi" w:hAnsiTheme="minorHAnsi"/>
        </w:rPr>
      </w:pPr>
      <w:r w:rsidRPr="008E1307">
        <w:rPr>
          <w:rFonts w:asciiTheme="minorHAnsi" w:hAnsiTheme="minorHAnsi"/>
        </w:rPr>
        <w:t>Based on the first two observations, there is evidence that population specific interventions may be most effective when designing approaches to reduce CC burden and subsequent costs.</w:t>
      </w:r>
      <w:r w:rsidR="0058357A" w:rsidRPr="008E1307">
        <w:rPr>
          <w:rFonts w:asciiTheme="minorHAnsi" w:hAnsiTheme="minorHAnsi"/>
        </w:rPr>
        <w:t xml:space="preserve"> </w:t>
      </w:r>
      <w:proofErr w:type="gramStart"/>
      <w:r w:rsidRPr="008E1307">
        <w:rPr>
          <w:rFonts w:asciiTheme="minorHAnsi" w:hAnsiTheme="minorHAnsi"/>
        </w:rPr>
        <w:t>In order to</w:t>
      </w:r>
      <w:proofErr w:type="gramEnd"/>
      <w:r w:rsidRPr="008E1307">
        <w:rPr>
          <w:rFonts w:asciiTheme="minorHAnsi" w:hAnsiTheme="minorHAnsi"/>
        </w:rPr>
        <w:t xml:space="preserve"> de</w:t>
      </w:r>
      <w:r w:rsidR="0058357A" w:rsidRPr="008E1307">
        <w:rPr>
          <w:rFonts w:asciiTheme="minorHAnsi" w:hAnsiTheme="minorHAnsi"/>
        </w:rPr>
        <w:t xml:space="preserve">sign these approaches the factors that contribute most to overall cost for each group need to be identified in a robust manner. </w:t>
      </w:r>
    </w:p>
    <w:p w14:paraId="04FC4236" w14:textId="6485348C" w:rsidR="00D14A51" w:rsidRPr="008E1307" w:rsidRDefault="0058357A" w:rsidP="001640F6">
      <w:pPr>
        <w:pStyle w:val="BodyText"/>
        <w:rPr>
          <w:rFonts w:asciiTheme="minorHAnsi" w:hAnsiTheme="minorHAnsi"/>
        </w:rPr>
      </w:pPr>
      <w:r w:rsidRPr="008E1307">
        <w:rPr>
          <w:rFonts w:asciiTheme="minorHAnsi" w:hAnsiTheme="minorHAnsi"/>
        </w:rPr>
        <w:t xml:space="preserve">Utilizing </w:t>
      </w:r>
      <w:r w:rsidR="00117AF3" w:rsidRPr="008E1307">
        <w:rPr>
          <w:rFonts w:asciiTheme="minorHAnsi" w:hAnsiTheme="minorHAnsi"/>
        </w:rPr>
        <w:t xml:space="preserve">an approach that combines three open-source, </w:t>
      </w:r>
      <w:r w:rsidR="00371BE9" w:rsidRPr="008E1307">
        <w:rPr>
          <w:rFonts w:asciiTheme="minorHAnsi" w:hAnsiTheme="minorHAnsi"/>
        </w:rPr>
        <w:t>widely utilized machine learning algorithms</w:t>
      </w:r>
      <w:r w:rsidR="006D48DC" w:rsidRPr="008E1307">
        <w:rPr>
          <w:rFonts w:asciiTheme="minorHAnsi" w:hAnsiTheme="minorHAnsi"/>
        </w:rPr>
        <w:t xml:space="preserve"> (Random Forests, Principal Component Analysis, and Recursive Feature Elimination)</w:t>
      </w:r>
      <w:r w:rsidR="008469E0">
        <w:rPr>
          <w:rFonts w:asciiTheme="minorHAnsi" w:hAnsiTheme="minorHAnsi"/>
        </w:rPr>
        <w:fldChar w:fldCharType="begin"/>
      </w:r>
      <w:r w:rsidR="008469E0">
        <w:rPr>
          <w:rFonts w:asciiTheme="minorHAnsi" w:hAnsiTheme="minorHAnsi"/>
        </w:rPr>
        <w:instrText>ADDIN F1000_CSL_CITATION&lt;~#@#~&gt;[{"title":"SVM-RFE: selection and visualization of the most relevant features through non-linear kernels.","id":"10257608","ArticleId":"734473538","page":"432","type":"article-journal","volume":"19","issue":"1","author":[{"family":"Sanz","given":"Hector"},{"family":"Valim","given":"Clarissa"},{"family":"Vegas","given":"Esteban"},{"family":"Oller","given":"Josep M"},{"family":"Reverter","given":"Ferran"}],"issued":{"date-parts":[["2018","11","19"]]},"container-title":"BMC Bioinformatics","container-title-short":"BMC Bioinformatics","journalAbbreviation":"BMC Bioinformatics","DOI":"10.1186/s12859-018-2451-4","PMID":"30453885","PMCID":"PMC6245920","citation-label":"10257608","Abstract":"&lt;strong&gt;BACKGROUND:&lt;/strong&gt;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analysis.&lt;br&gt;&lt;br&gt;&lt;strong&gt;RESULTS:&lt;/strong&gt;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scenarios.&lt;br&gt;&lt;br&gt;&lt;strong&gt;CONCLUSIONS:&lt;/strong&gt;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data.","CleanAbstract":"BACKGROUND: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data."},{"title":"Recursive feature elimination by sensitivity testing.","id":"8406513","ArticleId":"735186119","page":"40-47","type":"article-journal","volume":"2018","author":[{"family":"Escanilla","given":"Nicholas Sean"},{"family":"Hellerstein","given":"Lisa"},{"family":"Kleiman","given":"Ross"},{"family":"Kuang","given":"Zhaobin"},{"family":"Shull","given":"James D"},{"family":"Page","given":"David"}],"issued":{"date-parts":[["2018","12"]]},"container-title":"Proceedings of the ... International Conference on Machine Learning and Applications. International Conference on Machine Learning and Applications","container-title-short":"Proc. Int. Conf. Mach. Learn. Appl.","journalAbbreviation":"Proc. Int. Conf. Mach. Learn. Appl.","DOI":"10.1109/ICMLA.2018.00014","PMID":"31799516","PMCID":"PMC6887481","citation-label":"8406513","Abstract":"There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known.","CleanAbstract":"There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known."},{"title":"A novel feature selection approach for biomedical data classification.","id":"10818796","ArticleId":"732687799","page":"15-23","type":"article-journal","volume":"43","issue":"1","author":[{"family":"Peng","given":"Yonghong"},{"family":"Wu","given":"Zhiqing"},{"family":"Jiang","given":"Jianmin"}],"issued":{"date-parts":[["2010","2"]]},"container-title":"Journal of Biomedical Informatics","container-title-short":"J. Biomed. Inform.","journalAbbreviation":"J. Biomed. Inform.","DOI":"10.1016/j.jbi.2009.07.008","PMID":"19647098","citation-label":"10818796","Abstract":"This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solution.","CleanAbstract":"This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solution."},{"title":"A systematic review of machine learning models for predicting outcomes of stroke with structured data.","id":"9135286","ArticleId":"738133802","page":"e0234722","type":"article-journal","volume":"15","issue":"6","author":[{"family":"Wang","given":"Wenjuan"},{"family":"Kiik","given":"Martin"},{"family":"Peek","given":"Niels"},{"family":"Curcin","given":"Vasa"},{"family":"Marshall","given":"Iain J"},{"family":"Rudd","given":"Anthony G"},{"family":"Wang","given":"Yanzhong"},{"family":"Douiri","given":"Abdel"},{"family":"Wolfe","given":"Charles D"},{"family":"Bray","given":"Benjamin"}],"issued":{"date-parts":[["2020","6","12"]]},"container-title":"Plos One","container-title-short":"PLoS ONE","journalAbbreviation":"PLoS ONE","DOI":"10.1371/journal.pone.0234722","PMID":"32530947","PMCID":"PMC7292406","citation-label":"9135286","Abstract":"&lt;strong&gt;BACKGROUND AND PURPOSE:&lt;/strong&gt;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stroke.&lt;br&gt;&lt;br&gt;&lt;strong&gt;METHODS:&lt;/strong&gt; We searched PubMed and Web of Science from 1990 to March 2019, using previously published search filters for stroke, ML, and prediction models. We focused on structured clinical data, excluding image and text analysis. This review was registered with PROSPERO (CRD42019127154).&lt;br&gt;&lt;br&gt;&lt;strong&gt;RESULTS:&lt;/strong&gt;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it.&lt;br&gt;&lt;br&gt;&lt;strong&gt;CONCLUSIONS:&lt;/strong&gt;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practice.","CleanAbstract":"BACKGROUND AND PURPOSE: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stroke.METHODS: We searched PubMed and Web of Science from 1990 to March 2019, using previously published search filters for stroke, ML, and prediction models. We focused on structured clinical data, excluding image and text analysis. This review was registered with PROSPERO (CRD42019127154).RESULTS: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it.CONCLUSIONS: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practice."},{"title":"Feature selection based on mutual information: criteria of max-dependency, max-relevance, and min-redundancy.","id":"801959","ArticleId":"725826993","page":"1226-1238","type":"article-journal","volume":"27","issue":"8","author":[{"family":"Peng","given":"Hanchuan"},{"family":"Long","given":"Fuhui"},{"family":"Ding","given":"Chris"}],"issued":{"date-parts":[["2005","8"]]},"container-title":"IEEE transactions on pattern analysis and machine intelligence","container-title-short":"IEEE Trans. Pattern Anal. Mach. Intell.","journalAbbreviation":"IEEE Trans. Pattern Anal. Mach. Intell.","DOI":"10.1109/TPAMI.2005.159","PMID":"16119262","citation-label":"801959","Abstract":"Feature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accuracy.","CleanAbstract":"Feature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accuracy."},{"title":"A new variable selection approach using Random Forests","id":"4895430","ArticleId":"732746246","page":"50-69","type":"article-journal","volume":"60","author":[{"family":"Hapfelmeier","given":"A"},{"family":"Ulm","given":"K"}],"issued":{"date-parts":[["2013","4"]]},"container-title":"Computational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problems."},{"title":"A survey on feature selection methods","id":"4324455","ArticleId":"731690228","page":"16-28","type":"article-journal","volume":"40","issue":"1","author":[{"family":"Chandrashekar","given":"Girish"},{"family":"Sahin","given":"Ferat"}],"issued":{"date-parts":[["2014","1"]]},"container-title":"Computers &amp; Electrical Engineering","container-title-short":"Computers &amp; Electrical Engineering","journalAbbreviation":"Computers &amp; Electrical Engineering","DOI":"10.1016/j.compeleceng.2013.11.024","citation-label":"4324455","Abstract":"Plenty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techniques.","CleanAbstract":"Plenty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techniques."},{"title":"Feature selection using principal component analysis","id":"10826582","ArticleId":"734027402","page":"27-30","type":"paper-conference","publisher":"IEEE","isbn":"978-1-4244-8664-9","author":[{"family":"Song","given":"Fengxi"},{"family":"Guo","given":"Zhongwei"},{"family":"Mei","given":"Dayong"}],"issued":{"date-parts":[["2010","11","12"]]},"container-title":"2010 International Conference on System Science, Engineering Design and Manufacturing Informatization","DOI":"10.1109/ICSEM.2010.14","event":"2010 International Conference on System Science, Engineering Design and Manufacturing Informatization (ICSEM)","citation-label":"10826582","CleanAbstract":"No abstract available"},{"title":"Features selection via eigenvector centrality.","id":"10819640","type":"article-journal","author":[{"family":"Roffo","given":"G"},{"family":"Melzi","given":"S"}],"issued":{"date-parts":[["2016"]]},"container-title":"Proceedings of new frontiers in mining complex patterns (NFMCP 2016)(Oct 2016)","container-title-short":"Proceedings of new frontiers in mining complex patterns (NFMCP 2016)(Oct 2016)","journalAbbreviation":"Proceedings of new frontiers in mining complex patterns (NFMCP 2016)(Oct 2016)","citation-label":"10819640","CleanAbstract":"No abstract available"}]</w:instrText>
      </w:r>
      <w:r w:rsidR="008469E0">
        <w:rPr>
          <w:rFonts w:asciiTheme="minorHAnsi" w:hAnsiTheme="minorHAnsi"/>
        </w:rPr>
        <w:fldChar w:fldCharType="separate"/>
      </w:r>
      <w:r w:rsidR="008469E0">
        <w:rPr>
          <w:rFonts w:asciiTheme="minorHAnsi" w:hAnsiTheme="minorHAnsi"/>
        </w:rPr>
        <w:t>(24–32)</w:t>
      </w:r>
      <w:r w:rsidR="008469E0">
        <w:rPr>
          <w:rFonts w:asciiTheme="minorHAnsi" w:hAnsiTheme="minorHAnsi"/>
        </w:rPr>
        <w:fldChar w:fldCharType="end"/>
      </w:r>
      <w:r w:rsidR="00371BE9" w:rsidRPr="008E1307">
        <w:rPr>
          <w:rFonts w:asciiTheme="minorHAnsi" w:hAnsiTheme="minorHAnsi"/>
        </w:rPr>
        <w:t xml:space="preserve">, </w:t>
      </w:r>
      <w:r w:rsidR="00EA5DF0" w:rsidRPr="008E1307">
        <w:rPr>
          <w:rFonts w:asciiTheme="minorHAnsi" w:hAnsiTheme="minorHAnsi"/>
        </w:rPr>
        <w:t xml:space="preserve">the CC and utilization patterns for the population represented in the data were ranked based on various measures of </w:t>
      </w:r>
      <w:r w:rsidR="006D48DC" w:rsidRPr="008E1307">
        <w:rPr>
          <w:rFonts w:asciiTheme="minorHAnsi" w:hAnsiTheme="minorHAnsi"/>
        </w:rPr>
        <w:t xml:space="preserve">relevance. These </w:t>
      </w:r>
      <w:r w:rsidR="00CB4903" w:rsidRPr="008E1307">
        <w:rPr>
          <w:rFonts w:asciiTheme="minorHAnsi" w:hAnsiTheme="minorHAnsi"/>
        </w:rPr>
        <w:t>measures</w:t>
      </w:r>
      <w:r w:rsidR="00663463" w:rsidRPr="008E1307">
        <w:rPr>
          <w:rFonts w:asciiTheme="minorHAnsi" w:hAnsiTheme="minorHAnsi"/>
        </w:rPr>
        <w:t xml:space="preserve"> compare the relative importance of each </w:t>
      </w:r>
      <w:r w:rsidR="00CB4903" w:rsidRPr="008E1307">
        <w:rPr>
          <w:rFonts w:asciiTheme="minorHAnsi" w:hAnsiTheme="minorHAnsi"/>
        </w:rPr>
        <w:t>CC and utilization variable</w:t>
      </w:r>
      <w:r w:rsidR="00663463" w:rsidRPr="008E1307">
        <w:rPr>
          <w:rFonts w:asciiTheme="minorHAnsi" w:hAnsiTheme="minorHAnsi"/>
        </w:rPr>
        <w:t xml:space="preserve"> in predicting the outcome</w:t>
      </w:r>
      <w:r w:rsidR="00CB4903" w:rsidRPr="008E1307">
        <w:rPr>
          <w:rFonts w:asciiTheme="minorHAnsi" w:hAnsiTheme="minorHAnsi"/>
        </w:rPr>
        <w:t xml:space="preserve"> (Random Forests)</w:t>
      </w:r>
      <w:r w:rsidR="00663463" w:rsidRPr="008E1307">
        <w:rPr>
          <w:rFonts w:asciiTheme="minorHAnsi" w:hAnsiTheme="minorHAnsi"/>
        </w:rPr>
        <w:t xml:space="preserve">, the amount the </w:t>
      </w:r>
      <w:r w:rsidR="0095568C" w:rsidRPr="008E1307">
        <w:rPr>
          <w:rFonts w:asciiTheme="minorHAnsi" w:hAnsiTheme="minorHAnsi"/>
        </w:rPr>
        <w:t xml:space="preserve">variable contributed to the variation in the data (Principal component analysis) and whether the variable would be selected when attempting to build a </w:t>
      </w:r>
      <w:r w:rsidR="00655B29" w:rsidRPr="008E1307">
        <w:rPr>
          <w:rFonts w:asciiTheme="minorHAnsi" w:hAnsiTheme="minorHAnsi"/>
        </w:rPr>
        <w:t xml:space="preserve">the most accurate and </w:t>
      </w:r>
      <w:r w:rsidR="0095568C" w:rsidRPr="008E1307">
        <w:rPr>
          <w:rFonts w:asciiTheme="minorHAnsi" w:hAnsiTheme="minorHAnsi"/>
        </w:rPr>
        <w:t xml:space="preserve">parsimonious </w:t>
      </w:r>
      <w:r w:rsidR="00655B29" w:rsidRPr="008E1307">
        <w:rPr>
          <w:rFonts w:asciiTheme="minorHAnsi" w:hAnsiTheme="minorHAnsi"/>
        </w:rPr>
        <w:t>cross-validated regression model (Recursive Feature Elimination).</w:t>
      </w:r>
      <w:r w:rsidR="008D7C50" w:rsidRPr="008E1307">
        <w:rPr>
          <w:rFonts w:asciiTheme="minorHAnsi" w:hAnsiTheme="minorHAnsi"/>
        </w:rPr>
        <w:t xml:space="preserve"> By using multiple machine learning approaches potential biases in algorithmic design can be mitigated and useful information for decision makers can be easily gleaned</w:t>
      </w:r>
      <w:r w:rsidR="00E85486">
        <w:rPr>
          <w:rFonts w:asciiTheme="minorHAnsi" w:hAnsiTheme="minorHAnsi"/>
        </w:rPr>
        <w:fldChar w:fldCharType="begin"/>
      </w:r>
      <w:r w:rsidR="00E85486">
        <w:rPr>
          <w:rFonts w:asciiTheme="minorHAnsi" w:hAnsiTheme="minorHAnsi"/>
        </w:rPr>
        <w:instrText>ADDIN F1000_CSL_CITATION&lt;~#@#~&gt;[{"title":"FractureProof: An open source artificial intelligence process for precision public health","id":"10119406","type":"paper-conference","publisher":"OSF","author":[{"family":"Cistola","given":"Andrew S"}],"issued":{"date-parts":[["2020","12","4"]]},"URL":"https://osf.io/dj6ub/","accessed":{"date-parts":[["2020","12","4"]]},"event":"Research Reproducibility 2020 Educating forReproducibility: Pathways to Research Integrity","citation-label":"10119406","Abstract":"Hosted on the Open Science Framework","CleanAbstract":"Hosted on the Open Science Framework"},{"title":"Finding Value: Community and Quality Predictors of Value Based Payment Adjustments Among Florida Hospitals","id":"10119420","type":"paper-conference","publisher":"Academy Health","author":[{"family":"Cistola","given":"Andrew S"}],"issued":{"date-parts":[["2021","2","18"]]},"event":"2021 Health Datapalooza and National Health Policy Conference","citation-label":"10119420","Abstract":"&lt;p&gt;HEALTH OR HEALTHCARE PROBLEM/CHALLENGE BEING TACKLED: As value basedpayment (VBP) programs have been implemented in recent years, U.S. hospitals havestruggled to understand what factors are signicant in improving performance.INNOVATION/ADVANCE ACHIEVED: The purpose of this study is to identify what qualitymetrics and community demographics are related to VBP scores for Florida hospitalsusing open source articial intelligence tools and public use data. This methodology canhelp translate data into action by identifying areas where hospitals can work withcommunities to address social factors that will improve their own nancial metrics.TYPES OF DATA USED: County level demographics were collected from the HospitalResource and Services Administration and the U.S. Census for 2014-2018 and Hospitallevel quality metrics and nal payment adjustments were collected from the Centers forMedicare and Medicaid Services using claims from 2015-2018. A combination of machinelearning algorithms including principal component analysis, k-means, random forests, andrecursive feature elimination was used to identify the top predictors of nal (VBP)adjustment. The top predictors were included in a multiple regression model to comparepredictors and adjust for organizational contingencies. These nal predictors were alsofed into two articial neural networks (ANN) that predicted bonuses or penalties for 2018,2019, 2020.FINDINGS/LESSONS LEARNED: A number of predictors related to affordable housing andprivate insurance coverage type were identied as signicant. The ANNs were able topredict a bonus with relatively high accuracy for current years and predict penalty withconsistent accuracy for previous years. This study shows that combining ecological andhospital variables leads to high accuracy in predicting adjustment factors.NEXT STEPS/MARKET STRATEGY: These methods will be published as open source sohospital decision makers can be recruited to create targeted programs that combinecommunity development and quality improvement. Budgets for these programs can beforecasted by estimating the improvement in VBP for community partners to besuccessfully engaged in sustainable efforts.&lt;br&gt;&lt;/p&gt;","CleanAbstract":"HEALTH OR HEALTHCARE PROBLEM/CHALLENGE BEING TACKLED: As value basedpayment (VBP) programs have been implemented in recent years, U.S. hospitals havestruggled to understand what factors are signicant in improving performance.INNOVATION/ADVANCE ACHIEVED: The purpose of this study is to identify what qualitymetrics and community demographics are related to VBP scores for Florida hospitalsusing open source articial intelligence tools and public use data. This methodology canhelp translate data into action by identifying areas where hospitals can work withcommunities to address social factors that will improve their own nancial metrics.TYPES OF DATA USED: County level demographics were collected from the HospitalResource and Services Administration and the U.S. Census for 2014-2018 and Hospitallevel quality metrics and nal payment adjustments were collected from the Centers forMedicare and Medicaid Services using claims from 2015-2018. A combination of machinelearning algorithms including principal component analysis, k-means, random forests, andrecursive feature elimination was used to identify the top predictors of nal (VBP)adjustment. The top predictors were included in a multiple regression model to comparepredictors and adjust for organizational contingencies. These nal predictors were alsofed into two articial neural networks (ANN) that predicted bonuses or penalties for 2018,2019, 2020.FINDINGS/LESSONS LEARNED: A number of predictors related to affordable housing andprivate insurance coverage type were identied as signicant. The ANNs were able topredict a bonus with relatively high accuracy for current years and predict penalty withconsistent accuracy for previous years. This study shows that combining ecological andhospital variables leads to high accuracy in predicting adjustment factors.NEXT STEPS/MARKET STRATEGY: These methods will be published as open source sohospital decision makers can be recruited to create targeted programs that combinecommunity development and quality improvement. Budgets for these programs can beforecasted by estimating the improvement in VBP for community partners to besuccessfully engaged in sustainable efforts."}]</w:instrText>
      </w:r>
      <w:r w:rsidR="00E85486">
        <w:rPr>
          <w:rFonts w:asciiTheme="minorHAnsi" w:hAnsiTheme="minorHAnsi"/>
        </w:rPr>
        <w:fldChar w:fldCharType="separate"/>
      </w:r>
      <w:r w:rsidR="00E85486">
        <w:rPr>
          <w:rFonts w:asciiTheme="minorHAnsi" w:hAnsiTheme="minorHAnsi"/>
        </w:rPr>
        <w:t>(33,34)</w:t>
      </w:r>
      <w:r w:rsidR="00E85486">
        <w:rPr>
          <w:rFonts w:asciiTheme="minorHAnsi" w:hAnsiTheme="minorHAnsi"/>
        </w:rPr>
        <w:fldChar w:fldCharType="end"/>
      </w:r>
      <w:r w:rsidR="008D7C50" w:rsidRPr="008E1307">
        <w:rPr>
          <w:rFonts w:asciiTheme="minorHAnsi" w:hAnsiTheme="minorHAnsi"/>
        </w:rPr>
        <w:t xml:space="preserve">. </w:t>
      </w:r>
      <w:r w:rsidR="00D14A51" w:rsidRPr="008E1307">
        <w:rPr>
          <w:rFonts w:asciiTheme="minorHAnsi" w:hAnsiTheme="minorHAnsi"/>
        </w:rPr>
        <w:t xml:space="preserve"> Furthermore, this approach does not require a previous hypothesis to be tested but rather allows for </w:t>
      </w:r>
      <w:r w:rsidR="005D1AD2" w:rsidRPr="008E1307">
        <w:rPr>
          <w:rFonts w:asciiTheme="minorHAnsi" w:hAnsiTheme="minorHAnsi"/>
        </w:rPr>
        <w:t xml:space="preserve">the </w:t>
      </w:r>
      <w:r w:rsidR="00D14A51" w:rsidRPr="008E1307">
        <w:rPr>
          <w:rFonts w:asciiTheme="minorHAnsi" w:hAnsiTheme="minorHAnsi"/>
        </w:rPr>
        <w:t xml:space="preserve">automated generation of </w:t>
      </w:r>
      <w:r w:rsidR="005D1AD2" w:rsidRPr="008E1307">
        <w:rPr>
          <w:rFonts w:asciiTheme="minorHAnsi" w:hAnsiTheme="minorHAnsi"/>
        </w:rPr>
        <w:t>predictive features that can be further tested with appropriate regression models.</w:t>
      </w:r>
    </w:p>
    <w:p w14:paraId="4375E056" w14:textId="2B0F7912" w:rsidR="00D14A51" w:rsidRPr="008E1307" w:rsidRDefault="00D14A51" w:rsidP="000D0523">
      <w:pPr>
        <w:pStyle w:val="BodyText"/>
        <w:rPr>
          <w:rFonts w:asciiTheme="minorHAnsi" w:hAnsiTheme="minorHAnsi"/>
        </w:rPr>
      </w:pPr>
      <w:r w:rsidRPr="008E1307">
        <w:rPr>
          <w:rFonts w:asciiTheme="minorHAnsi" w:hAnsiTheme="minorHAnsi"/>
        </w:rPr>
        <w:t xml:space="preserve">Table 6 illustrates the differences among </w:t>
      </w:r>
      <w:r w:rsidR="005D1AD2" w:rsidRPr="008E1307">
        <w:rPr>
          <w:rFonts w:asciiTheme="minorHAnsi" w:hAnsiTheme="minorHAnsi"/>
        </w:rPr>
        <w:t xml:space="preserve">marketplace and Medicare eligible beneficiaries. </w:t>
      </w:r>
      <w:proofErr w:type="gramStart"/>
      <w:r w:rsidR="005D1AD2" w:rsidRPr="008E1307">
        <w:rPr>
          <w:rFonts w:asciiTheme="minorHAnsi" w:hAnsiTheme="minorHAnsi"/>
        </w:rPr>
        <w:t>A number of</w:t>
      </w:r>
      <w:proofErr w:type="gramEnd"/>
      <w:r w:rsidR="005D1AD2" w:rsidRPr="008E1307">
        <w:rPr>
          <w:rFonts w:asciiTheme="minorHAnsi" w:hAnsiTheme="minorHAnsi"/>
        </w:rPr>
        <w:t xml:space="preserve"> predictors are present in both groups indicating clear patterns by age and coverage </w:t>
      </w:r>
      <w:r w:rsidR="00CE0338" w:rsidRPr="008E1307">
        <w:rPr>
          <w:rFonts w:asciiTheme="minorHAnsi" w:hAnsiTheme="minorHAnsi"/>
        </w:rPr>
        <w:t>availability. These include</w:t>
      </w:r>
      <w:r w:rsidR="004C5936" w:rsidRPr="008E1307">
        <w:rPr>
          <w:rFonts w:asciiTheme="minorHAnsi" w:hAnsiTheme="minorHAnsi"/>
        </w:rPr>
        <w:t xml:space="preserve"> clinical conditions such as</w:t>
      </w:r>
      <w:r w:rsidR="00CE0338" w:rsidRPr="008E1307">
        <w:rPr>
          <w:rFonts w:asciiTheme="minorHAnsi" w:hAnsiTheme="minorHAnsi"/>
        </w:rPr>
        <w:t xml:space="preserve"> the number of comorbidities, COPD, </w:t>
      </w:r>
      <w:r w:rsidR="00B46204" w:rsidRPr="008E1307">
        <w:rPr>
          <w:rFonts w:asciiTheme="minorHAnsi" w:hAnsiTheme="minorHAnsi"/>
        </w:rPr>
        <w:t xml:space="preserve">stroke, and </w:t>
      </w:r>
      <w:r w:rsidR="004C5936" w:rsidRPr="008E1307">
        <w:rPr>
          <w:rFonts w:asciiTheme="minorHAnsi" w:hAnsiTheme="minorHAnsi"/>
        </w:rPr>
        <w:t>depression</w:t>
      </w:r>
      <w:r w:rsidR="00B46204" w:rsidRPr="008E1307">
        <w:rPr>
          <w:rFonts w:asciiTheme="minorHAnsi" w:hAnsiTheme="minorHAnsi"/>
        </w:rPr>
        <w:t xml:space="preserve">. Inpatient visits were also </w:t>
      </w:r>
      <w:proofErr w:type="gramStart"/>
      <w:r w:rsidR="00B46204" w:rsidRPr="008E1307">
        <w:rPr>
          <w:rFonts w:asciiTheme="minorHAnsi" w:hAnsiTheme="minorHAnsi"/>
        </w:rPr>
        <w:t>both present</w:t>
      </w:r>
      <w:proofErr w:type="gramEnd"/>
      <w:r w:rsidR="00B46204" w:rsidRPr="008E1307">
        <w:rPr>
          <w:rFonts w:asciiTheme="minorHAnsi" w:hAnsiTheme="minorHAnsi"/>
        </w:rPr>
        <w:t xml:space="preserve"> in the </w:t>
      </w:r>
      <w:r w:rsidR="00B46204" w:rsidRPr="008E1307">
        <w:rPr>
          <w:rFonts w:asciiTheme="minorHAnsi" w:hAnsiTheme="minorHAnsi"/>
        </w:rPr>
        <w:lastRenderedPageBreak/>
        <w:t xml:space="preserve">top three for each group, indicating that </w:t>
      </w:r>
      <w:r w:rsidR="00BA6AA0" w:rsidRPr="008E1307">
        <w:rPr>
          <w:rFonts w:asciiTheme="minorHAnsi" w:hAnsiTheme="minorHAnsi"/>
        </w:rPr>
        <w:t xml:space="preserve">hospital admissions may be the primary driver of costs for both populations. </w:t>
      </w:r>
      <w:r w:rsidR="00957A5A" w:rsidRPr="008E1307">
        <w:rPr>
          <w:rFonts w:asciiTheme="minorHAnsi" w:hAnsiTheme="minorHAnsi"/>
        </w:rPr>
        <w:t>While age was present for both, it was less important for older patients.</w:t>
      </w:r>
    </w:p>
    <w:tbl>
      <w:tblPr>
        <w:tblW w:w="5000" w:type="pct"/>
        <w:tblLook w:val="04A0" w:firstRow="1" w:lastRow="0" w:firstColumn="1" w:lastColumn="0" w:noHBand="0" w:noVBand="1"/>
      </w:tblPr>
      <w:tblGrid>
        <w:gridCol w:w="3303"/>
        <w:gridCol w:w="1547"/>
        <w:gridCol w:w="1481"/>
        <w:gridCol w:w="1528"/>
        <w:gridCol w:w="1481"/>
      </w:tblGrid>
      <w:tr w:rsidR="00D14A51" w:rsidRPr="008E1307" w14:paraId="5A82F640" w14:textId="77777777" w:rsidTr="00D14A51">
        <w:trPr>
          <w:trHeight w:val="675"/>
        </w:trPr>
        <w:tc>
          <w:tcPr>
            <w:tcW w:w="5000" w:type="pct"/>
            <w:gridSpan w:val="5"/>
            <w:tcBorders>
              <w:top w:val="single" w:sz="8" w:space="0" w:color="auto"/>
              <w:left w:val="single" w:sz="8" w:space="0" w:color="auto"/>
              <w:bottom w:val="nil"/>
              <w:right w:val="single" w:sz="8" w:space="0" w:color="000000"/>
            </w:tcBorders>
            <w:shd w:val="clear" w:color="auto" w:fill="auto"/>
            <w:hideMark/>
          </w:tcPr>
          <w:p w14:paraId="76634CB7" w14:textId="38AC636C" w:rsidR="00D14A51" w:rsidRPr="008E1307" w:rsidRDefault="00D14A51" w:rsidP="00D14A51">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t xml:space="preserve">Table VI. </w:t>
            </w:r>
            <w:bookmarkStart w:id="4" w:name="_Hlk80018698"/>
            <w:r w:rsidRPr="008E1307">
              <w:rPr>
                <w:rFonts w:asciiTheme="minorHAnsi" w:eastAsia="Times New Roman" w:hAnsiTheme="minorHAnsi" w:cs="Calibri"/>
                <w:b/>
                <w:bCs/>
                <w:i/>
                <w:iCs/>
                <w:color w:val="000000"/>
                <w:sz w:val="22"/>
                <w:szCs w:val="22"/>
              </w:rPr>
              <w:t xml:space="preserve">Algorithmic ranking of chronic conditions and utilization patterns ability to predict higher overall costs among </w:t>
            </w:r>
            <w:proofErr w:type="gramStart"/>
            <w:r w:rsidRPr="008E1307">
              <w:rPr>
                <w:rFonts w:asciiTheme="minorHAnsi" w:eastAsia="Times New Roman" w:hAnsiTheme="minorHAnsi" w:cs="Calibri"/>
                <w:b/>
                <w:bCs/>
                <w:i/>
                <w:iCs/>
                <w:color w:val="000000"/>
                <w:sz w:val="22"/>
                <w:szCs w:val="22"/>
              </w:rPr>
              <w:t>beneficiaries</w:t>
            </w:r>
            <w:bookmarkEnd w:id="4"/>
            <w:r w:rsidRPr="008E1307">
              <w:rPr>
                <w:rFonts w:asciiTheme="minorHAnsi" w:eastAsia="Times New Roman" w:hAnsiTheme="minorHAnsi" w:cs="Calibri"/>
                <w:b/>
                <w:bCs/>
                <w:i/>
                <w:iCs/>
                <w:color w:val="000000"/>
                <w:sz w:val="22"/>
                <w:szCs w:val="22"/>
              </w:rPr>
              <w:t>.*</w:t>
            </w:r>
            <w:proofErr w:type="gramEnd"/>
            <w:r w:rsidRPr="008E1307">
              <w:rPr>
                <w:rFonts w:asciiTheme="minorHAnsi" w:eastAsia="Times New Roman" w:hAnsiTheme="minorHAnsi" w:cs="Calibri"/>
                <w:b/>
                <w:bCs/>
                <w:i/>
                <w:iCs/>
                <w:color w:val="000000"/>
                <w:sz w:val="22"/>
                <w:szCs w:val="22"/>
              </w:rPr>
              <w:t>**</w:t>
            </w:r>
          </w:p>
        </w:tc>
      </w:tr>
      <w:tr w:rsidR="00D14A51" w:rsidRPr="008E1307" w14:paraId="730DAE3E" w14:textId="77777777" w:rsidTr="00D14A51">
        <w:trPr>
          <w:trHeight w:val="630"/>
        </w:trPr>
        <w:tc>
          <w:tcPr>
            <w:tcW w:w="1768" w:type="pct"/>
            <w:tcBorders>
              <w:top w:val="nil"/>
              <w:left w:val="single" w:sz="8" w:space="0" w:color="auto"/>
              <w:bottom w:val="nil"/>
              <w:right w:val="nil"/>
            </w:tcBorders>
            <w:shd w:val="clear" w:color="auto" w:fill="auto"/>
            <w:vAlign w:val="center"/>
            <w:hideMark/>
          </w:tcPr>
          <w:p w14:paraId="6D2DD322" w14:textId="2CDA46EC"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Marketplace Eligible Beneficiaries****</w:t>
            </w:r>
          </w:p>
        </w:tc>
        <w:tc>
          <w:tcPr>
            <w:tcW w:w="828" w:type="pct"/>
            <w:tcBorders>
              <w:top w:val="single" w:sz="4" w:space="0" w:color="auto"/>
              <w:left w:val="nil"/>
              <w:bottom w:val="single" w:sz="4" w:space="0" w:color="auto"/>
              <w:right w:val="nil"/>
            </w:tcBorders>
            <w:shd w:val="clear" w:color="auto" w:fill="auto"/>
            <w:vAlign w:val="center"/>
            <w:hideMark/>
          </w:tcPr>
          <w:p w14:paraId="1209B00C"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Importance Rank</w:t>
            </w:r>
          </w:p>
        </w:tc>
        <w:tc>
          <w:tcPr>
            <w:tcW w:w="793" w:type="pct"/>
            <w:tcBorders>
              <w:top w:val="single" w:sz="4" w:space="0" w:color="auto"/>
              <w:left w:val="nil"/>
              <w:bottom w:val="single" w:sz="4" w:space="0" w:color="auto"/>
              <w:right w:val="nil"/>
            </w:tcBorders>
            <w:shd w:val="clear" w:color="auto" w:fill="auto"/>
            <w:vAlign w:val="center"/>
            <w:hideMark/>
          </w:tcPr>
          <w:p w14:paraId="18B3770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Variance    Rank</w:t>
            </w:r>
          </w:p>
        </w:tc>
        <w:tc>
          <w:tcPr>
            <w:tcW w:w="818" w:type="pct"/>
            <w:tcBorders>
              <w:top w:val="single" w:sz="4" w:space="0" w:color="auto"/>
              <w:left w:val="nil"/>
              <w:bottom w:val="single" w:sz="4" w:space="0" w:color="auto"/>
              <w:right w:val="nil"/>
            </w:tcBorders>
            <w:shd w:val="clear" w:color="auto" w:fill="auto"/>
            <w:vAlign w:val="center"/>
            <w:hideMark/>
          </w:tcPr>
          <w:p w14:paraId="37EA2A00"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Elimination Rank</w:t>
            </w:r>
          </w:p>
        </w:tc>
        <w:tc>
          <w:tcPr>
            <w:tcW w:w="793" w:type="pct"/>
            <w:tcBorders>
              <w:top w:val="single" w:sz="4" w:space="0" w:color="auto"/>
              <w:left w:val="nil"/>
              <w:bottom w:val="single" w:sz="4" w:space="0" w:color="auto"/>
              <w:right w:val="single" w:sz="8" w:space="0" w:color="auto"/>
            </w:tcBorders>
            <w:shd w:val="clear" w:color="auto" w:fill="auto"/>
            <w:vAlign w:val="center"/>
            <w:hideMark/>
          </w:tcPr>
          <w:p w14:paraId="2D5A0F67"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Overall        Rank</w:t>
            </w:r>
          </w:p>
        </w:tc>
      </w:tr>
      <w:tr w:rsidR="00D14A51" w:rsidRPr="008E1307" w14:paraId="1AE81188" w14:textId="77777777" w:rsidTr="00D14A51">
        <w:trPr>
          <w:trHeight w:val="315"/>
        </w:trPr>
        <w:tc>
          <w:tcPr>
            <w:tcW w:w="1768" w:type="pct"/>
            <w:tcBorders>
              <w:top w:val="nil"/>
              <w:left w:val="single" w:sz="8" w:space="0" w:color="auto"/>
              <w:bottom w:val="nil"/>
              <w:right w:val="nil"/>
            </w:tcBorders>
            <w:shd w:val="clear" w:color="auto" w:fill="auto"/>
            <w:vAlign w:val="center"/>
            <w:hideMark/>
          </w:tcPr>
          <w:p w14:paraId="6EE279D4" w14:textId="77777777"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828" w:type="pct"/>
            <w:tcBorders>
              <w:top w:val="nil"/>
              <w:left w:val="nil"/>
              <w:bottom w:val="nil"/>
              <w:right w:val="nil"/>
            </w:tcBorders>
            <w:shd w:val="clear" w:color="auto" w:fill="auto"/>
            <w:vAlign w:val="center"/>
            <w:hideMark/>
          </w:tcPr>
          <w:p w14:paraId="0168BD38" w14:textId="77777777" w:rsidR="00D14A51" w:rsidRPr="008E1307" w:rsidRDefault="00D14A51" w:rsidP="00D14A51">
            <w:pPr>
              <w:spacing w:after="0"/>
              <w:rPr>
                <w:rFonts w:asciiTheme="minorHAnsi" w:eastAsia="Times New Roman" w:hAnsiTheme="minorHAnsi" w:cs="Calibri"/>
                <w:b/>
                <w:bCs/>
                <w:color w:val="000000"/>
                <w:sz w:val="22"/>
                <w:szCs w:val="22"/>
              </w:rPr>
            </w:pPr>
          </w:p>
        </w:tc>
        <w:tc>
          <w:tcPr>
            <w:tcW w:w="793" w:type="pct"/>
            <w:tcBorders>
              <w:top w:val="nil"/>
              <w:left w:val="nil"/>
              <w:bottom w:val="nil"/>
              <w:right w:val="nil"/>
            </w:tcBorders>
            <w:shd w:val="clear" w:color="auto" w:fill="auto"/>
            <w:vAlign w:val="center"/>
            <w:hideMark/>
          </w:tcPr>
          <w:p w14:paraId="2A2FC2EB"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vAlign w:val="center"/>
            <w:hideMark/>
          </w:tcPr>
          <w:p w14:paraId="05558658"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vAlign w:val="center"/>
            <w:hideMark/>
          </w:tcPr>
          <w:p w14:paraId="3D0F9C32"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r>
      <w:tr w:rsidR="00D14A51" w:rsidRPr="008E1307" w14:paraId="542F96C5"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3F544A7"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Age*</w:t>
            </w:r>
          </w:p>
        </w:tc>
        <w:tc>
          <w:tcPr>
            <w:tcW w:w="828" w:type="pct"/>
            <w:tcBorders>
              <w:top w:val="nil"/>
              <w:left w:val="nil"/>
              <w:bottom w:val="nil"/>
              <w:right w:val="nil"/>
            </w:tcBorders>
            <w:shd w:val="clear" w:color="auto" w:fill="auto"/>
            <w:noWrap/>
            <w:vAlign w:val="center"/>
            <w:hideMark/>
          </w:tcPr>
          <w:p w14:paraId="0357A7F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nil"/>
            </w:tcBorders>
            <w:shd w:val="clear" w:color="auto" w:fill="auto"/>
            <w:noWrap/>
            <w:vAlign w:val="center"/>
            <w:hideMark/>
          </w:tcPr>
          <w:p w14:paraId="54D46F4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818" w:type="pct"/>
            <w:tcBorders>
              <w:top w:val="nil"/>
              <w:left w:val="nil"/>
              <w:bottom w:val="nil"/>
              <w:right w:val="nil"/>
            </w:tcBorders>
            <w:shd w:val="clear" w:color="auto" w:fill="auto"/>
            <w:noWrap/>
            <w:vAlign w:val="center"/>
            <w:hideMark/>
          </w:tcPr>
          <w:p w14:paraId="74BDAC8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2B9026D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r>
      <w:tr w:rsidR="00D14A51" w:rsidRPr="008E1307" w14:paraId="48DFDFA0"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0B7DD08"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Inpatient Visits**</w:t>
            </w:r>
          </w:p>
        </w:tc>
        <w:tc>
          <w:tcPr>
            <w:tcW w:w="828" w:type="pct"/>
            <w:tcBorders>
              <w:top w:val="nil"/>
              <w:left w:val="nil"/>
              <w:bottom w:val="nil"/>
              <w:right w:val="nil"/>
            </w:tcBorders>
            <w:shd w:val="clear" w:color="auto" w:fill="auto"/>
            <w:noWrap/>
            <w:vAlign w:val="center"/>
            <w:hideMark/>
          </w:tcPr>
          <w:p w14:paraId="68A7511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nil"/>
            </w:tcBorders>
            <w:shd w:val="clear" w:color="auto" w:fill="auto"/>
            <w:noWrap/>
            <w:vAlign w:val="center"/>
            <w:hideMark/>
          </w:tcPr>
          <w:p w14:paraId="75DF1A1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818" w:type="pct"/>
            <w:tcBorders>
              <w:top w:val="nil"/>
              <w:left w:val="nil"/>
              <w:bottom w:val="nil"/>
              <w:right w:val="nil"/>
            </w:tcBorders>
            <w:shd w:val="clear" w:color="auto" w:fill="auto"/>
            <w:noWrap/>
            <w:vAlign w:val="center"/>
            <w:hideMark/>
          </w:tcPr>
          <w:p w14:paraId="0AF83D9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7060B3D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r>
      <w:tr w:rsidR="00D14A51" w:rsidRPr="008E1307" w14:paraId="6F7E6787"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F92D0AB"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 Visits*</w:t>
            </w:r>
          </w:p>
        </w:tc>
        <w:tc>
          <w:tcPr>
            <w:tcW w:w="828" w:type="pct"/>
            <w:tcBorders>
              <w:top w:val="nil"/>
              <w:left w:val="nil"/>
              <w:bottom w:val="nil"/>
              <w:right w:val="nil"/>
            </w:tcBorders>
            <w:shd w:val="clear" w:color="auto" w:fill="auto"/>
            <w:noWrap/>
            <w:vAlign w:val="center"/>
            <w:hideMark/>
          </w:tcPr>
          <w:p w14:paraId="4E5C1E4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nil"/>
            </w:tcBorders>
            <w:shd w:val="clear" w:color="auto" w:fill="auto"/>
            <w:noWrap/>
            <w:vAlign w:val="center"/>
            <w:hideMark/>
          </w:tcPr>
          <w:p w14:paraId="3F01F0F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818" w:type="pct"/>
            <w:tcBorders>
              <w:top w:val="nil"/>
              <w:left w:val="nil"/>
              <w:bottom w:val="nil"/>
              <w:right w:val="nil"/>
            </w:tcBorders>
            <w:shd w:val="clear" w:color="auto" w:fill="auto"/>
            <w:noWrap/>
            <w:vAlign w:val="center"/>
            <w:hideMark/>
          </w:tcPr>
          <w:p w14:paraId="4887156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14C84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r>
      <w:tr w:rsidR="00D14A51" w:rsidRPr="008E1307" w14:paraId="24A5819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F56A964"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Comorbidities*</w:t>
            </w:r>
          </w:p>
        </w:tc>
        <w:tc>
          <w:tcPr>
            <w:tcW w:w="828" w:type="pct"/>
            <w:tcBorders>
              <w:top w:val="nil"/>
              <w:left w:val="nil"/>
              <w:bottom w:val="nil"/>
              <w:right w:val="nil"/>
            </w:tcBorders>
            <w:shd w:val="clear" w:color="auto" w:fill="auto"/>
            <w:noWrap/>
            <w:vAlign w:val="center"/>
            <w:hideMark/>
          </w:tcPr>
          <w:p w14:paraId="1AAD56B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nil"/>
            </w:tcBorders>
            <w:shd w:val="clear" w:color="auto" w:fill="auto"/>
            <w:noWrap/>
            <w:vAlign w:val="center"/>
            <w:hideMark/>
          </w:tcPr>
          <w:p w14:paraId="06E582B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818" w:type="pct"/>
            <w:tcBorders>
              <w:top w:val="nil"/>
              <w:left w:val="nil"/>
              <w:bottom w:val="nil"/>
              <w:right w:val="nil"/>
            </w:tcBorders>
            <w:shd w:val="clear" w:color="auto" w:fill="auto"/>
            <w:noWrap/>
            <w:vAlign w:val="center"/>
            <w:hideMark/>
          </w:tcPr>
          <w:p w14:paraId="2DD3F86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37ED460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r>
      <w:tr w:rsidR="00D14A51" w:rsidRPr="008E1307" w14:paraId="66C50CD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C697D61"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Primary Care Copay</w:t>
            </w:r>
          </w:p>
        </w:tc>
        <w:tc>
          <w:tcPr>
            <w:tcW w:w="828" w:type="pct"/>
            <w:tcBorders>
              <w:top w:val="nil"/>
              <w:left w:val="nil"/>
              <w:bottom w:val="nil"/>
              <w:right w:val="nil"/>
            </w:tcBorders>
            <w:shd w:val="clear" w:color="auto" w:fill="auto"/>
            <w:noWrap/>
            <w:vAlign w:val="center"/>
            <w:hideMark/>
          </w:tcPr>
          <w:p w14:paraId="75FBF84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c>
          <w:tcPr>
            <w:tcW w:w="793" w:type="pct"/>
            <w:tcBorders>
              <w:top w:val="nil"/>
              <w:left w:val="nil"/>
              <w:bottom w:val="nil"/>
              <w:right w:val="nil"/>
            </w:tcBorders>
            <w:shd w:val="clear" w:color="auto" w:fill="auto"/>
            <w:noWrap/>
            <w:vAlign w:val="center"/>
            <w:hideMark/>
          </w:tcPr>
          <w:p w14:paraId="5E70E0B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818" w:type="pct"/>
            <w:tcBorders>
              <w:top w:val="nil"/>
              <w:left w:val="nil"/>
              <w:bottom w:val="nil"/>
              <w:right w:val="nil"/>
            </w:tcBorders>
            <w:shd w:val="clear" w:color="auto" w:fill="auto"/>
            <w:noWrap/>
            <w:vAlign w:val="center"/>
            <w:hideMark/>
          </w:tcPr>
          <w:p w14:paraId="2B69780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82DF96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r>
      <w:tr w:rsidR="00D14A51" w:rsidRPr="008E1307" w14:paraId="5010CEF0"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3089EDE5" w14:textId="0F8097EE"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Atrial fibrillation</w:t>
            </w:r>
          </w:p>
        </w:tc>
        <w:tc>
          <w:tcPr>
            <w:tcW w:w="828" w:type="pct"/>
            <w:tcBorders>
              <w:top w:val="nil"/>
              <w:left w:val="nil"/>
              <w:bottom w:val="nil"/>
              <w:right w:val="nil"/>
            </w:tcBorders>
            <w:shd w:val="clear" w:color="auto" w:fill="auto"/>
            <w:noWrap/>
            <w:vAlign w:val="center"/>
            <w:hideMark/>
          </w:tcPr>
          <w:p w14:paraId="36782B9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nil"/>
            </w:tcBorders>
            <w:shd w:val="clear" w:color="auto" w:fill="auto"/>
            <w:noWrap/>
            <w:vAlign w:val="center"/>
            <w:hideMark/>
          </w:tcPr>
          <w:p w14:paraId="3B2DA2B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w:t>
            </w:r>
          </w:p>
        </w:tc>
        <w:tc>
          <w:tcPr>
            <w:tcW w:w="818" w:type="pct"/>
            <w:tcBorders>
              <w:top w:val="nil"/>
              <w:left w:val="nil"/>
              <w:bottom w:val="nil"/>
              <w:right w:val="nil"/>
            </w:tcBorders>
            <w:shd w:val="clear" w:color="auto" w:fill="auto"/>
            <w:noWrap/>
            <w:vAlign w:val="center"/>
            <w:hideMark/>
          </w:tcPr>
          <w:p w14:paraId="60C906C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single" w:sz="8" w:space="0" w:color="auto"/>
            </w:tcBorders>
            <w:shd w:val="clear" w:color="auto" w:fill="auto"/>
            <w:noWrap/>
            <w:vAlign w:val="center"/>
            <w:hideMark/>
          </w:tcPr>
          <w:p w14:paraId="1B16ADA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r>
      <w:tr w:rsidR="00D14A51" w:rsidRPr="008E1307" w14:paraId="0DE7721E"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FDF9CEA"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COPD*</w:t>
            </w:r>
          </w:p>
        </w:tc>
        <w:tc>
          <w:tcPr>
            <w:tcW w:w="828" w:type="pct"/>
            <w:tcBorders>
              <w:top w:val="nil"/>
              <w:left w:val="nil"/>
              <w:bottom w:val="nil"/>
              <w:right w:val="nil"/>
            </w:tcBorders>
            <w:shd w:val="clear" w:color="auto" w:fill="auto"/>
            <w:noWrap/>
            <w:vAlign w:val="center"/>
            <w:hideMark/>
          </w:tcPr>
          <w:p w14:paraId="30937AA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w:t>
            </w:r>
          </w:p>
        </w:tc>
        <w:tc>
          <w:tcPr>
            <w:tcW w:w="793" w:type="pct"/>
            <w:tcBorders>
              <w:top w:val="nil"/>
              <w:left w:val="nil"/>
              <w:bottom w:val="nil"/>
              <w:right w:val="nil"/>
            </w:tcBorders>
            <w:shd w:val="clear" w:color="auto" w:fill="auto"/>
            <w:noWrap/>
            <w:vAlign w:val="center"/>
            <w:hideMark/>
          </w:tcPr>
          <w:p w14:paraId="24D6052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818" w:type="pct"/>
            <w:tcBorders>
              <w:top w:val="nil"/>
              <w:left w:val="nil"/>
              <w:bottom w:val="nil"/>
              <w:right w:val="nil"/>
            </w:tcBorders>
            <w:shd w:val="clear" w:color="auto" w:fill="auto"/>
            <w:noWrap/>
            <w:vAlign w:val="center"/>
            <w:hideMark/>
          </w:tcPr>
          <w:p w14:paraId="418FAB5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single" w:sz="8" w:space="0" w:color="auto"/>
            </w:tcBorders>
            <w:shd w:val="clear" w:color="auto" w:fill="auto"/>
            <w:noWrap/>
            <w:vAlign w:val="center"/>
            <w:hideMark/>
          </w:tcPr>
          <w:p w14:paraId="3FADE99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r>
      <w:tr w:rsidR="00D14A51" w:rsidRPr="008E1307" w14:paraId="3C3A670A"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0311B315"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Stroke*</w:t>
            </w:r>
          </w:p>
        </w:tc>
        <w:tc>
          <w:tcPr>
            <w:tcW w:w="828" w:type="pct"/>
            <w:tcBorders>
              <w:top w:val="nil"/>
              <w:left w:val="nil"/>
              <w:bottom w:val="nil"/>
              <w:right w:val="nil"/>
            </w:tcBorders>
            <w:shd w:val="clear" w:color="auto" w:fill="auto"/>
            <w:noWrap/>
            <w:vAlign w:val="center"/>
            <w:hideMark/>
          </w:tcPr>
          <w:p w14:paraId="590FD9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w:t>
            </w:r>
          </w:p>
        </w:tc>
        <w:tc>
          <w:tcPr>
            <w:tcW w:w="793" w:type="pct"/>
            <w:tcBorders>
              <w:top w:val="nil"/>
              <w:left w:val="nil"/>
              <w:bottom w:val="nil"/>
              <w:right w:val="nil"/>
            </w:tcBorders>
            <w:shd w:val="clear" w:color="auto" w:fill="auto"/>
            <w:noWrap/>
            <w:vAlign w:val="center"/>
            <w:hideMark/>
          </w:tcPr>
          <w:p w14:paraId="5012891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818" w:type="pct"/>
            <w:tcBorders>
              <w:top w:val="nil"/>
              <w:left w:val="nil"/>
              <w:bottom w:val="nil"/>
              <w:right w:val="nil"/>
            </w:tcBorders>
            <w:shd w:val="clear" w:color="auto" w:fill="auto"/>
            <w:noWrap/>
            <w:vAlign w:val="center"/>
            <w:hideMark/>
          </w:tcPr>
          <w:p w14:paraId="72234DE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793" w:type="pct"/>
            <w:tcBorders>
              <w:top w:val="nil"/>
              <w:left w:val="nil"/>
              <w:bottom w:val="nil"/>
              <w:right w:val="single" w:sz="8" w:space="0" w:color="auto"/>
            </w:tcBorders>
            <w:shd w:val="clear" w:color="auto" w:fill="auto"/>
            <w:noWrap/>
            <w:vAlign w:val="center"/>
            <w:hideMark/>
          </w:tcPr>
          <w:p w14:paraId="4F70FA2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r>
      <w:tr w:rsidR="00D14A51" w:rsidRPr="008E1307" w14:paraId="3D56E072"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78FCA8B"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Ischemic Heart Disease</w:t>
            </w:r>
          </w:p>
        </w:tc>
        <w:tc>
          <w:tcPr>
            <w:tcW w:w="828" w:type="pct"/>
            <w:tcBorders>
              <w:top w:val="nil"/>
              <w:left w:val="nil"/>
              <w:bottom w:val="nil"/>
              <w:right w:val="nil"/>
            </w:tcBorders>
            <w:shd w:val="clear" w:color="auto" w:fill="auto"/>
            <w:noWrap/>
            <w:vAlign w:val="center"/>
            <w:hideMark/>
          </w:tcPr>
          <w:p w14:paraId="5259FD2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nil"/>
            </w:tcBorders>
            <w:shd w:val="clear" w:color="auto" w:fill="auto"/>
            <w:noWrap/>
            <w:vAlign w:val="center"/>
            <w:hideMark/>
          </w:tcPr>
          <w:p w14:paraId="6151A60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w:t>
            </w:r>
          </w:p>
        </w:tc>
        <w:tc>
          <w:tcPr>
            <w:tcW w:w="818" w:type="pct"/>
            <w:tcBorders>
              <w:top w:val="nil"/>
              <w:left w:val="nil"/>
              <w:bottom w:val="nil"/>
              <w:right w:val="nil"/>
            </w:tcBorders>
            <w:shd w:val="clear" w:color="auto" w:fill="auto"/>
            <w:noWrap/>
            <w:vAlign w:val="center"/>
            <w:hideMark/>
          </w:tcPr>
          <w:p w14:paraId="145AFA6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single" w:sz="8" w:space="0" w:color="auto"/>
            </w:tcBorders>
            <w:shd w:val="clear" w:color="auto" w:fill="auto"/>
            <w:noWrap/>
            <w:vAlign w:val="center"/>
            <w:hideMark/>
          </w:tcPr>
          <w:p w14:paraId="0144896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r>
      <w:tr w:rsidR="00D14A51" w:rsidRPr="008E1307" w14:paraId="10ED55FF"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8ED5493"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Depression*</w:t>
            </w:r>
          </w:p>
        </w:tc>
        <w:tc>
          <w:tcPr>
            <w:tcW w:w="828" w:type="pct"/>
            <w:tcBorders>
              <w:top w:val="nil"/>
              <w:left w:val="nil"/>
              <w:bottom w:val="nil"/>
              <w:right w:val="nil"/>
            </w:tcBorders>
            <w:shd w:val="clear" w:color="auto" w:fill="auto"/>
            <w:noWrap/>
            <w:vAlign w:val="center"/>
            <w:hideMark/>
          </w:tcPr>
          <w:p w14:paraId="53D2649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793" w:type="pct"/>
            <w:tcBorders>
              <w:top w:val="nil"/>
              <w:left w:val="nil"/>
              <w:bottom w:val="nil"/>
              <w:right w:val="nil"/>
            </w:tcBorders>
            <w:shd w:val="clear" w:color="auto" w:fill="auto"/>
            <w:noWrap/>
            <w:vAlign w:val="center"/>
            <w:hideMark/>
          </w:tcPr>
          <w:p w14:paraId="4968EE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w:t>
            </w:r>
          </w:p>
        </w:tc>
        <w:tc>
          <w:tcPr>
            <w:tcW w:w="818" w:type="pct"/>
            <w:tcBorders>
              <w:top w:val="nil"/>
              <w:left w:val="nil"/>
              <w:bottom w:val="nil"/>
              <w:right w:val="nil"/>
            </w:tcBorders>
            <w:shd w:val="clear" w:color="auto" w:fill="auto"/>
            <w:noWrap/>
            <w:vAlign w:val="center"/>
            <w:hideMark/>
          </w:tcPr>
          <w:p w14:paraId="598D178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single" w:sz="8" w:space="0" w:color="auto"/>
            </w:tcBorders>
            <w:shd w:val="clear" w:color="auto" w:fill="auto"/>
            <w:noWrap/>
            <w:vAlign w:val="center"/>
            <w:hideMark/>
          </w:tcPr>
          <w:p w14:paraId="14CCD3F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r>
      <w:tr w:rsidR="00D14A51" w:rsidRPr="008E1307" w14:paraId="7050F419"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C08DD3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c>
          <w:tcPr>
            <w:tcW w:w="828" w:type="pct"/>
            <w:tcBorders>
              <w:top w:val="nil"/>
              <w:left w:val="nil"/>
              <w:bottom w:val="nil"/>
              <w:right w:val="nil"/>
            </w:tcBorders>
            <w:shd w:val="clear" w:color="auto" w:fill="auto"/>
            <w:noWrap/>
            <w:vAlign w:val="center"/>
            <w:hideMark/>
          </w:tcPr>
          <w:p w14:paraId="7B1C89E8" w14:textId="77777777" w:rsidR="00D14A51" w:rsidRPr="008E1307" w:rsidRDefault="00D14A51" w:rsidP="00D14A51">
            <w:pPr>
              <w:spacing w:after="0"/>
              <w:rPr>
                <w:rFonts w:asciiTheme="minorHAnsi" w:eastAsia="Times New Roman" w:hAnsiTheme="minorHAnsi" w:cs="Calibri"/>
                <w:i/>
                <w:iCs/>
                <w:color w:val="000000"/>
                <w:sz w:val="22"/>
                <w:szCs w:val="22"/>
              </w:rPr>
            </w:pPr>
          </w:p>
        </w:tc>
        <w:tc>
          <w:tcPr>
            <w:tcW w:w="793" w:type="pct"/>
            <w:tcBorders>
              <w:top w:val="nil"/>
              <w:left w:val="nil"/>
              <w:bottom w:val="nil"/>
              <w:right w:val="nil"/>
            </w:tcBorders>
            <w:shd w:val="clear" w:color="auto" w:fill="auto"/>
            <w:noWrap/>
            <w:vAlign w:val="center"/>
            <w:hideMark/>
          </w:tcPr>
          <w:p w14:paraId="10E38930"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noWrap/>
            <w:vAlign w:val="center"/>
            <w:hideMark/>
          </w:tcPr>
          <w:p w14:paraId="0412AC51"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noWrap/>
            <w:vAlign w:val="center"/>
            <w:hideMark/>
          </w:tcPr>
          <w:p w14:paraId="5B69438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D14A51" w:rsidRPr="008E1307" w14:paraId="22AE8437" w14:textId="77777777" w:rsidTr="00D14A51">
        <w:trPr>
          <w:trHeight w:val="750"/>
        </w:trPr>
        <w:tc>
          <w:tcPr>
            <w:tcW w:w="1768" w:type="pct"/>
            <w:tcBorders>
              <w:top w:val="nil"/>
              <w:left w:val="single" w:sz="8" w:space="0" w:color="auto"/>
              <w:bottom w:val="nil"/>
              <w:right w:val="nil"/>
            </w:tcBorders>
            <w:shd w:val="clear" w:color="auto" w:fill="auto"/>
            <w:vAlign w:val="center"/>
            <w:hideMark/>
          </w:tcPr>
          <w:p w14:paraId="6CB163A8" w14:textId="65A1E7BA" w:rsidR="00D14A51" w:rsidRPr="008E1307" w:rsidRDefault="00D14A51" w:rsidP="00D14A51">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Medicare Eligible Beneficiaries****</w:t>
            </w:r>
          </w:p>
        </w:tc>
        <w:tc>
          <w:tcPr>
            <w:tcW w:w="828" w:type="pct"/>
            <w:tcBorders>
              <w:top w:val="single" w:sz="4" w:space="0" w:color="auto"/>
              <w:left w:val="nil"/>
              <w:bottom w:val="single" w:sz="4" w:space="0" w:color="auto"/>
              <w:right w:val="nil"/>
            </w:tcBorders>
            <w:shd w:val="clear" w:color="auto" w:fill="auto"/>
            <w:vAlign w:val="center"/>
            <w:hideMark/>
          </w:tcPr>
          <w:p w14:paraId="6C49188B"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Importance Rank</w:t>
            </w:r>
          </w:p>
        </w:tc>
        <w:tc>
          <w:tcPr>
            <w:tcW w:w="793" w:type="pct"/>
            <w:tcBorders>
              <w:top w:val="single" w:sz="4" w:space="0" w:color="auto"/>
              <w:left w:val="nil"/>
              <w:bottom w:val="single" w:sz="4" w:space="0" w:color="auto"/>
              <w:right w:val="nil"/>
            </w:tcBorders>
            <w:shd w:val="clear" w:color="auto" w:fill="auto"/>
            <w:vAlign w:val="center"/>
            <w:hideMark/>
          </w:tcPr>
          <w:p w14:paraId="4B3F77B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Variance    Rank</w:t>
            </w:r>
          </w:p>
        </w:tc>
        <w:tc>
          <w:tcPr>
            <w:tcW w:w="818" w:type="pct"/>
            <w:tcBorders>
              <w:top w:val="single" w:sz="4" w:space="0" w:color="auto"/>
              <w:left w:val="nil"/>
              <w:bottom w:val="single" w:sz="4" w:space="0" w:color="auto"/>
              <w:right w:val="nil"/>
            </w:tcBorders>
            <w:shd w:val="clear" w:color="auto" w:fill="auto"/>
            <w:vAlign w:val="center"/>
            <w:hideMark/>
          </w:tcPr>
          <w:p w14:paraId="5CE0A4FC"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Elimination Rank</w:t>
            </w:r>
          </w:p>
        </w:tc>
        <w:tc>
          <w:tcPr>
            <w:tcW w:w="793" w:type="pct"/>
            <w:tcBorders>
              <w:top w:val="single" w:sz="4" w:space="0" w:color="auto"/>
              <w:left w:val="nil"/>
              <w:bottom w:val="single" w:sz="4" w:space="0" w:color="auto"/>
              <w:right w:val="single" w:sz="8" w:space="0" w:color="auto"/>
            </w:tcBorders>
            <w:shd w:val="clear" w:color="auto" w:fill="auto"/>
            <w:vAlign w:val="center"/>
            <w:hideMark/>
          </w:tcPr>
          <w:p w14:paraId="31263AE7"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Overall        Rank</w:t>
            </w:r>
          </w:p>
        </w:tc>
      </w:tr>
      <w:tr w:rsidR="00D14A51" w:rsidRPr="008E1307" w14:paraId="749690C2" w14:textId="77777777" w:rsidTr="00D14A51">
        <w:trPr>
          <w:trHeight w:val="300"/>
        </w:trPr>
        <w:tc>
          <w:tcPr>
            <w:tcW w:w="1768" w:type="pct"/>
            <w:tcBorders>
              <w:top w:val="nil"/>
              <w:left w:val="single" w:sz="8" w:space="0" w:color="auto"/>
              <w:bottom w:val="nil"/>
              <w:right w:val="nil"/>
            </w:tcBorders>
            <w:shd w:val="clear" w:color="auto" w:fill="auto"/>
            <w:hideMark/>
          </w:tcPr>
          <w:p w14:paraId="1C12F2B9" w14:textId="77777777" w:rsidR="00D14A51" w:rsidRPr="008E1307" w:rsidRDefault="00D14A51" w:rsidP="00D14A51">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28" w:type="pct"/>
            <w:tcBorders>
              <w:top w:val="nil"/>
              <w:left w:val="nil"/>
              <w:bottom w:val="nil"/>
              <w:right w:val="nil"/>
            </w:tcBorders>
            <w:shd w:val="clear" w:color="auto" w:fill="auto"/>
            <w:vAlign w:val="center"/>
            <w:hideMark/>
          </w:tcPr>
          <w:p w14:paraId="1DF6544A" w14:textId="77777777" w:rsidR="00D14A51" w:rsidRPr="008E1307" w:rsidRDefault="00D14A51" w:rsidP="00D14A51">
            <w:pPr>
              <w:spacing w:after="0"/>
              <w:rPr>
                <w:rFonts w:asciiTheme="minorHAnsi" w:eastAsia="Times New Roman" w:hAnsiTheme="minorHAnsi" w:cs="Calibri"/>
                <w:b/>
                <w:bCs/>
                <w:sz w:val="22"/>
                <w:szCs w:val="22"/>
              </w:rPr>
            </w:pPr>
          </w:p>
        </w:tc>
        <w:tc>
          <w:tcPr>
            <w:tcW w:w="793" w:type="pct"/>
            <w:tcBorders>
              <w:top w:val="nil"/>
              <w:left w:val="nil"/>
              <w:bottom w:val="nil"/>
              <w:right w:val="nil"/>
            </w:tcBorders>
            <w:shd w:val="clear" w:color="auto" w:fill="auto"/>
            <w:vAlign w:val="center"/>
            <w:hideMark/>
          </w:tcPr>
          <w:p w14:paraId="0E0C4D63"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vAlign w:val="center"/>
            <w:hideMark/>
          </w:tcPr>
          <w:p w14:paraId="090192C7"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vAlign w:val="center"/>
            <w:hideMark/>
          </w:tcPr>
          <w:p w14:paraId="1C689E8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r>
      <w:tr w:rsidR="00D14A51" w:rsidRPr="008E1307" w14:paraId="32B3842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F3C5C02"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Inpatient Visits**</w:t>
            </w:r>
          </w:p>
        </w:tc>
        <w:tc>
          <w:tcPr>
            <w:tcW w:w="828" w:type="pct"/>
            <w:tcBorders>
              <w:top w:val="nil"/>
              <w:left w:val="nil"/>
              <w:bottom w:val="nil"/>
              <w:right w:val="nil"/>
            </w:tcBorders>
            <w:shd w:val="clear" w:color="auto" w:fill="auto"/>
            <w:noWrap/>
            <w:vAlign w:val="center"/>
            <w:hideMark/>
          </w:tcPr>
          <w:p w14:paraId="59A2AA8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nil"/>
            </w:tcBorders>
            <w:shd w:val="clear" w:color="auto" w:fill="auto"/>
            <w:noWrap/>
            <w:vAlign w:val="center"/>
            <w:hideMark/>
          </w:tcPr>
          <w:p w14:paraId="50756CF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818" w:type="pct"/>
            <w:tcBorders>
              <w:top w:val="nil"/>
              <w:left w:val="nil"/>
              <w:bottom w:val="nil"/>
              <w:right w:val="nil"/>
            </w:tcBorders>
            <w:shd w:val="clear" w:color="auto" w:fill="auto"/>
            <w:noWrap/>
            <w:vAlign w:val="center"/>
            <w:hideMark/>
          </w:tcPr>
          <w:p w14:paraId="43E20AB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51C2A15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r>
      <w:tr w:rsidR="00D14A51" w:rsidRPr="008E1307" w14:paraId="1EB84D6D"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BE1C34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Comorbidities*</w:t>
            </w:r>
          </w:p>
        </w:tc>
        <w:tc>
          <w:tcPr>
            <w:tcW w:w="828" w:type="pct"/>
            <w:tcBorders>
              <w:top w:val="nil"/>
              <w:left w:val="nil"/>
              <w:bottom w:val="nil"/>
              <w:right w:val="nil"/>
            </w:tcBorders>
            <w:shd w:val="clear" w:color="auto" w:fill="auto"/>
            <w:noWrap/>
            <w:vAlign w:val="center"/>
            <w:hideMark/>
          </w:tcPr>
          <w:p w14:paraId="0F0E59D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nil"/>
            </w:tcBorders>
            <w:shd w:val="clear" w:color="auto" w:fill="auto"/>
            <w:noWrap/>
            <w:vAlign w:val="center"/>
            <w:hideMark/>
          </w:tcPr>
          <w:p w14:paraId="349919B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818" w:type="pct"/>
            <w:tcBorders>
              <w:top w:val="nil"/>
              <w:left w:val="nil"/>
              <w:bottom w:val="nil"/>
              <w:right w:val="nil"/>
            </w:tcBorders>
            <w:shd w:val="clear" w:color="auto" w:fill="auto"/>
            <w:noWrap/>
            <w:vAlign w:val="center"/>
            <w:hideMark/>
          </w:tcPr>
          <w:p w14:paraId="707B88E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4E40959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r>
      <w:tr w:rsidR="00D14A51" w:rsidRPr="008E1307" w14:paraId="02004B2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1F7F1A94" w14:textId="2DF99D6E" w:rsidR="00D14A51" w:rsidRPr="008E1307" w:rsidRDefault="00AE093F"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w:t>
            </w:r>
            <w:r w:rsidR="00D14A51" w:rsidRPr="008E1307">
              <w:rPr>
                <w:rFonts w:asciiTheme="minorHAnsi" w:eastAsia="Times New Roman" w:hAnsiTheme="minorHAnsi" w:cs="Calibri"/>
                <w:i/>
                <w:iCs/>
                <w:color w:val="000000"/>
                <w:sz w:val="22"/>
                <w:szCs w:val="22"/>
              </w:rPr>
              <w:t xml:space="preserve"> </w:t>
            </w:r>
            <w:r w:rsidR="00345D51" w:rsidRPr="008E1307">
              <w:rPr>
                <w:rFonts w:asciiTheme="minorHAnsi" w:eastAsia="Times New Roman" w:hAnsiTheme="minorHAnsi" w:cs="Calibri"/>
                <w:i/>
                <w:iCs/>
                <w:color w:val="000000"/>
                <w:sz w:val="22"/>
                <w:szCs w:val="22"/>
              </w:rPr>
              <w:t>Copay</w:t>
            </w:r>
          </w:p>
        </w:tc>
        <w:tc>
          <w:tcPr>
            <w:tcW w:w="828" w:type="pct"/>
            <w:tcBorders>
              <w:top w:val="nil"/>
              <w:left w:val="nil"/>
              <w:bottom w:val="nil"/>
              <w:right w:val="nil"/>
            </w:tcBorders>
            <w:shd w:val="clear" w:color="auto" w:fill="auto"/>
            <w:noWrap/>
            <w:vAlign w:val="center"/>
            <w:hideMark/>
          </w:tcPr>
          <w:p w14:paraId="6A2B5A4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nil"/>
            </w:tcBorders>
            <w:shd w:val="clear" w:color="auto" w:fill="auto"/>
            <w:noWrap/>
            <w:vAlign w:val="center"/>
            <w:hideMark/>
          </w:tcPr>
          <w:p w14:paraId="1C33770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818" w:type="pct"/>
            <w:tcBorders>
              <w:top w:val="nil"/>
              <w:left w:val="nil"/>
              <w:bottom w:val="nil"/>
              <w:right w:val="nil"/>
            </w:tcBorders>
            <w:shd w:val="clear" w:color="auto" w:fill="auto"/>
            <w:noWrap/>
            <w:vAlign w:val="center"/>
            <w:hideMark/>
          </w:tcPr>
          <w:p w14:paraId="7D6A904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793" w:type="pct"/>
            <w:tcBorders>
              <w:top w:val="nil"/>
              <w:left w:val="nil"/>
              <w:bottom w:val="nil"/>
              <w:right w:val="single" w:sz="8" w:space="0" w:color="auto"/>
            </w:tcBorders>
            <w:shd w:val="clear" w:color="auto" w:fill="auto"/>
            <w:noWrap/>
            <w:vAlign w:val="center"/>
            <w:hideMark/>
          </w:tcPr>
          <w:p w14:paraId="7C2DBED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r>
      <w:tr w:rsidR="00D14A51" w:rsidRPr="008E1307" w14:paraId="5F2DC92D"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604FDE6C"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Diabetes</w:t>
            </w:r>
          </w:p>
        </w:tc>
        <w:tc>
          <w:tcPr>
            <w:tcW w:w="828" w:type="pct"/>
            <w:tcBorders>
              <w:top w:val="nil"/>
              <w:left w:val="nil"/>
              <w:bottom w:val="nil"/>
              <w:right w:val="nil"/>
            </w:tcBorders>
            <w:shd w:val="clear" w:color="auto" w:fill="auto"/>
            <w:noWrap/>
            <w:vAlign w:val="center"/>
            <w:hideMark/>
          </w:tcPr>
          <w:p w14:paraId="7314CB7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793" w:type="pct"/>
            <w:tcBorders>
              <w:top w:val="nil"/>
              <w:left w:val="nil"/>
              <w:bottom w:val="nil"/>
              <w:right w:val="nil"/>
            </w:tcBorders>
            <w:shd w:val="clear" w:color="auto" w:fill="auto"/>
            <w:noWrap/>
            <w:vAlign w:val="center"/>
            <w:hideMark/>
          </w:tcPr>
          <w:p w14:paraId="7FCEC38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818" w:type="pct"/>
            <w:tcBorders>
              <w:top w:val="nil"/>
              <w:left w:val="nil"/>
              <w:bottom w:val="nil"/>
              <w:right w:val="nil"/>
            </w:tcBorders>
            <w:shd w:val="clear" w:color="auto" w:fill="auto"/>
            <w:noWrap/>
            <w:vAlign w:val="center"/>
            <w:hideMark/>
          </w:tcPr>
          <w:p w14:paraId="3A3146A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F70385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r>
      <w:tr w:rsidR="00D14A51" w:rsidRPr="008E1307" w14:paraId="0F40E1D6"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A8BBB4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Stroke</w:t>
            </w:r>
          </w:p>
        </w:tc>
        <w:tc>
          <w:tcPr>
            <w:tcW w:w="828" w:type="pct"/>
            <w:tcBorders>
              <w:top w:val="nil"/>
              <w:left w:val="nil"/>
              <w:bottom w:val="nil"/>
              <w:right w:val="nil"/>
            </w:tcBorders>
            <w:shd w:val="clear" w:color="auto" w:fill="auto"/>
            <w:noWrap/>
            <w:vAlign w:val="center"/>
            <w:hideMark/>
          </w:tcPr>
          <w:p w14:paraId="5D9D981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793" w:type="pct"/>
            <w:tcBorders>
              <w:top w:val="nil"/>
              <w:left w:val="nil"/>
              <w:bottom w:val="nil"/>
              <w:right w:val="nil"/>
            </w:tcBorders>
            <w:shd w:val="clear" w:color="auto" w:fill="auto"/>
            <w:noWrap/>
            <w:vAlign w:val="center"/>
            <w:hideMark/>
          </w:tcPr>
          <w:p w14:paraId="01E1AF9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818" w:type="pct"/>
            <w:tcBorders>
              <w:top w:val="nil"/>
              <w:left w:val="nil"/>
              <w:bottom w:val="nil"/>
              <w:right w:val="nil"/>
            </w:tcBorders>
            <w:shd w:val="clear" w:color="auto" w:fill="auto"/>
            <w:noWrap/>
            <w:vAlign w:val="center"/>
            <w:hideMark/>
          </w:tcPr>
          <w:p w14:paraId="4A1ABF0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single" w:sz="8" w:space="0" w:color="auto"/>
            </w:tcBorders>
            <w:shd w:val="clear" w:color="auto" w:fill="auto"/>
            <w:noWrap/>
            <w:vAlign w:val="center"/>
            <w:hideMark/>
          </w:tcPr>
          <w:p w14:paraId="7F20253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r>
      <w:tr w:rsidR="00D14A51" w:rsidRPr="008E1307" w14:paraId="7A16FF27"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7249866"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COPD*</w:t>
            </w:r>
          </w:p>
        </w:tc>
        <w:tc>
          <w:tcPr>
            <w:tcW w:w="828" w:type="pct"/>
            <w:tcBorders>
              <w:top w:val="nil"/>
              <w:left w:val="nil"/>
              <w:bottom w:val="nil"/>
              <w:right w:val="nil"/>
            </w:tcBorders>
            <w:shd w:val="clear" w:color="auto" w:fill="auto"/>
            <w:noWrap/>
            <w:vAlign w:val="center"/>
            <w:hideMark/>
          </w:tcPr>
          <w:p w14:paraId="61F749B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nil"/>
            </w:tcBorders>
            <w:shd w:val="clear" w:color="auto" w:fill="auto"/>
            <w:noWrap/>
            <w:vAlign w:val="center"/>
            <w:hideMark/>
          </w:tcPr>
          <w:p w14:paraId="66D4927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w:t>
            </w:r>
          </w:p>
        </w:tc>
        <w:tc>
          <w:tcPr>
            <w:tcW w:w="818" w:type="pct"/>
            <w:tcBorders>
              <w:top w:val="nil"/>
              <w:left w:val="nil"/>
              <w:bottom w:val="nil"/>
              <w:right w:val="nil"/>
            </w:tcBorders>
            <w:shd w:val="clear" w:color="auto" w:fill="auto"/>
            <w:noWrap/>
            <w:vAlign w:val="center"/>
            <w:hideMark/>
          </w:tcPr>
          <w:p w14:paraId="040442B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single" w:sz="8" w:space="0" w:color="auto"/>
            </w:tcBorders>
            <w:shd w:val="clear" w:color="auto" w:fill="auto"/>
            <w:noWrap/>
            <w:vAlign w:val="center"/>
            <w:hideMark/>
          </w:tcPr>
          <w:p w14:paraId="32802BA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r>
      <w:tr w:rsidR="00D14A51" w:rsidRPr="008E1307" w14:paraId="77092AB9"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F476D6F"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Depression*</w:t>
            </w:r>
          </w:p>
        </w:tc>
        <w:tc>
          <w:tcPr>
            <w:tcW w:w="828" w:type="pct"/>
            <w:tcBorders>
              <w:top w:val="nil"/>
              <w:left w:val="nil"/>
              <w:bottom w:val="nil"/>
              <w:right w:val="nil"/>
            </w:tcBorders>
            <w:shd w:val="clear" w:color="auto" w:fill="auto"/>
            <w:noWrap/>
            <w:vAlign w:val="center"/>
            <w:hideMark/>
          </w:tcPr>
          <w:p w14:paraId="523E155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793" w:type="pct"/>
            <w:tcBorders>
              <w:top w:val="nil"/>
              <w:left w:val="nil"/>
              <w:bottom w:val="nil"/>
              <w:right w:val="nil"/>
            </w:tcBorders>
            <w:shd w:val="clear" w:color="auto" w:fill="auto"/>
            <w:noWrap/>
            <w:vAlign w:val="center"/>
            <w:hideMark/>
          </w:tcPr>
          <w:p w14:paraId="32C47DA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818" w:type="pct"/>
            <w:tcBorders>
              <w:top w:val="nil"/>
              <w:left w:val="nil"/>
              <w:bottom w:val="nil"/>
              <w:right w:val="nil"/>
            </w:tcBorders>
            <w:shd w:val="clear" w:color="auto" w:fill="auto"/>
            <w:noWrap/>
            <w:vAlign w:val="center"/>
            <w:hideMark/>
          </w:tcPr>
          <w:p w14:paraId="371600A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single" w:sz="8" w:space="0" w:color="auto"/>
            </w:tcBorders>
            <w:shd w:val="clear" w:color="auto" w:fill="auto"/>
            <w:noWrap/>
            <w:vAlign w:val="center"/>
            <w:hideMark/>
          </w:tcPr>
          <w:p w14:paraId="622315D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r>
      <w:tr w:rsidR="00D14A51" w:rsidRPr="008E1307" w14:paraId="6B87891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35B8EAB4"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Hyperlipidemia</w:t>
            </w:r>
          </w:p>
        </w:tc>
        <w:tc>
          <w:tcPr>
            <w:tcW w:w="828" w:type="pct"/>
            <w:tcBorders>
              <w:top w:val="nil"/>
              <w:left w:val="nil"/>
              <w:bottom w:val="nil"/>
              <w:right w:val="nil"/>
            </w:tcBorders>
            <w:shd w:val="clear" w:color="auto" w:fill="auto"/>
            <w:noWrap/>
            <w:vAlign w:val="center"/>
            <w:hideMark/>
          </w:tcPr>
          <w:p w14:paraId="1210B9A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w:t>
            </w:r>
          </w:p>
        </w:tc>
        <w:tc>
          <w:tcPr>
            <w:tcW w:w="793" w:type="pct"/>
            <w:tcBorders>
              <w:top w:val="nil"/>
              <w:left w:val="nil"/>
              <w:bottom w:val="nil"/>
              <w:right w:val="nil"/>
            </w:tcBorders>
            <w:shd w:val="clear" w:color="auto" w:fill="auto"/>
            <w:noWrap/>
            <w:vAlign w:val="center"/>
            <w:hideMark/>
          </w:tcPr>
          <w:p w14:paraId="26AF39B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818" w:type="pct"/>
            <w:tcBorders>
              <w:top w:val="nil"/>
              <w:left w:val="nil"/>
              <w:bottom w:val="nil"/>
              <w:right w:val="nil"/>
            </w:tcBorders>
            <w:shd w:val="clear" w:color="auto" w:fill="auto"/>
            <w:noWrap/>
            <w:vAlign w:val="center"/>
            <w:hideMark/>
          </w:tcPr>
          <w:p w14:paraId="2B454F7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single" w:sz="8" w:space="0" w:color="auto"/>
            </w:tcBorders>
            <w:shd w:val="clear" w:color="auto" w:fill="auto"/>
            <w:noWrap/>
            <w:vAlign w:val="center"/>
            <w:hideMark/>
          </w:tcPr>
          <w:p w14:paraId="1D05332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r>
      <w:tr w:rsidR="00D14A51" w:rsidRPr="008E1307" w14:paraId="17F8514C"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9A2830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Age*</w:t>
            </w:r>
          </w:p>
        </w:tc>
        <w:tc>
          <w:tcPr>
            <w:tcW w:w="828" w:type="pct"/>
            <w:tcBorders>
              <w:top w:val="nil"/>
              <w:left w:val="nil"/>
              <w:bottom w:val="nil"/>
              <w:right w:val="nil"/>
            </w:tcBorders>
            <w:shd w:val="clear" w:color="auto" w:fill="auto"/>
            <w:noWrap/>
            <w:vAlign w:val="center"/>
            <w:hideMark/>
          </w:tcPr>
          <w:p w14:paraId="7A8A925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nil"/>
            </w:tcBorders>
            <w:shd w:val="clear" w:color="auto" w:fill="auto"/>
            <w:noWrap/>
            <w:vAlign w:val="center"/>
            <w:hideMark/>
          </w:tcPr>
          <w:p w14:paraId="311C0C4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w:t>
            </w:r>
          </w:p>
        </w:tc>
        <w:tc>
          <w:tcPr>
            <w:tcW w:w="818" w:type="pct"/>
            <w:tcBorders>
              <w:top w:val="nil"/>
              <w:left w:val="nil"/>
              <w:bottom w:val="nil"/>
              <w:right w:val="nil"/>
            </w:tcBorders>
            <w:shd w:val="clear" w:color="auto" w:fill="auto"/>
            <w:noWrap/>
            <w:vAlign w:val="center"/>
            <w:hideMark/>
          </w:tcPr>
          <w:p w14:paraId="1C1024D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3262EBA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r>
      <w:tr w:rsidR="00D14A51" w:rsidRPr="008E1307" w14:paraId="474D703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C539758"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 Visits*</w:t>
            </w:r>
          </w:p>
        </w:tc>
        <w:tc>
          <w:tcPr>
            <w:tcW w:w="828" w:type="pct"/>
            <w:tcBorders>
              <w:top w:val="nil"/>
              <w:left w:val="nil"/>
              <w:bottom w:val="nil"/>
              <w:right w:val="nil"/>
            </w:tcBorders>
            <w:shd w:val="clear" w:color="auto" w:fill="auto"/>
            <w:noWrap/>
            <w:vAlign w:val="center"/>
            <w:hideMark/>
          </w:tcPr>
          <w:p w14:paraId="1DE1D06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nil"/>
            </w:tcBorders>
            <w:shd w:val="clear" w:color="auto" w:fill="auto"/>
            <w:noWrap/>
            <w:vAlign w:val="center"/>
            <w:hideMark/>
          </w:tcPr>
          <w:p w14:paraId="7B05CE0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w:t>
            </w:r>
          </w:p>
        </w:tc>
        <w:tc>
          <w:tcPr>
            <w:tcW w:w="818" w:type="pct"/>
            <w:tcBorders>
              <w:top w:val="nil"/>
              <w:left w:val="nil"/>
              <w:bottom w:val="nil"/>
              <w:right w:val="nil"/>
            </w:tcBorders>
            <w:shd w:val="clear" w:color="auto" w:fill="auto"/>
            <w:noWrap/>
            <w:vAlign w:val="center"/>
            <w:hideMark/>
          </w:tcPr>
          <w:p w14:paraId="28BE842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2FE0349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r>
      <w:tr w:rsidR="00D14A51" w:rsidRPr="008E1307" w14:paraId="3195B6A7" w14:textId="77777777" w:rsidTr="00D14A51">
        <w:trPr>
          <w:trHeight w:val="1500"/>
        </w:trPr>
        <w:tc>
          <w:tcPr>
            <w:tcW w:w="5000" w:type="pct"/>
            <w:gridSpan w:val="5"/>
            <w:tcBorders>
              <w:top w:val="nil"/>
              <w:left w:val="single" w:sz="8" w:space="0" w:color="auto"/>
              <w:bottom w:val="single" w:sz="8" w:space="0" w:color="auto"/>
              <w:right w:val="single" w:sz="8" w:space="0" w:color="000000"/>
            </w:tcBorders>
            <w:shd w:val="clear" w:color="auto" w:fill="auto"/>
            <w:vAlign w:val="bottom"/>
            <w:hideMark/>
          </w:tcPr>
          <w:p w14:paraId="00D61FFC" w14:textId="77777777"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*Variable is shared among both groups</w:t>
            </w:r>
            <w:r w:rsidRPr="008E1307">
              <w:rPr>
                <w:rFonts w:asciiTheme="minorHAnsi" w:eastAsia="Times New Roman" w:hAnsiTheme="minorHAnsi" w:cs="Calibri"/>
                <w:b/>
                <w:bCs/>
                <w:color w:val="000000"/>
                <w:sz w:val="22"/>
                <w:szCs w:val="22"/>
              </w:rPr>
              <w:br/>
              <w:t>**Variable is shared in top 3 among both groups</w:t>
            </w:r>
            <w:r w:rsidRPr="008E1307">
              <w:rPr>
                <w:rFonts w:asciiTheme="minorHAnsi" w:eastAsia="Times New Roman" w:hAnsiTheme="minorHAnsi" w:cs="Calibri"/>
                <w:b/>
                <w:bCs/>
                <w:color w:val="000000"/>
                <w:sz w:val="22"/>
                <w:szCs w:val="22"/>
              </w:rPr>
              <w:br/>
              <w:t xml:space="preserve">***Only top 10 variables by overall rank are kept. Overall rank is calculated by an average of each of the other three ranks. </w:t>
            </w:r>
            <w:r w:rsidRPr="008E1307">
              <w:rPr>
                <w:rFonts w:asciiTheme="minorHAnsi" w:eastAsia="Times New Roman" w:hAnsiTheme="minorHAnsi" w:cs="Calibri"/>
                <w:b/>
                <w:bCs/>
                <w:color w:val="000000"/>
                <w:sz w:val="22"/>
                <w:szCs w:val="22"/>
              </w:rPr>
              <w:br/>
              <w:t>****Marketplace (30-64) and Medicare (65+) regardless of actual plan enrollment</w:t>
            </w:r>
          </w:p>
        </w:tc>
      </w:tr>
    </w:tbl>
    <w:p w14:paraId="63EC74FB" w14:textId="464144DC" w:rsidR="006D48DC" w:rsidRPr="008E1307" w:rsidRDefault="00D14A51" w:rsidP="000D0523">
      <w:pPr>
        <w:pStyle w:val="BodyText"/>
        <w:jc w:val="center"/>
        <w:rPr>
          <w:rFonts w:asciiTheme="minorHAnsi" w:hAnsiTheme="minorHAnsi"/>
          <w:sz w:val="20"/>
          <w:szCs w:val="20"/>
        </w:rPr>
      </w:pPr>
      <w:r w:rsidRPr="008E1307">
        <w:rPr>
          <w:rFonts w:asciiTheme="minorHAnsi" w:hAnsiTheme="minorHAnsi"/>
          <w:sz w:val="20"/>
          <w:szCs w:val="20"/>
        </w:rPr>
        <w:t xml:space="preserve">Table 6. Algorithmic ranking of chronic conditions and utilization </w:t>
      </w:r>
      <w:proofErr w:type="gramStart"/>
      <w:r w:rsidRPr="008E1307">
        <w:rPr>
          <w:rFonts w:asciiTheme="minorHAnsi" w:hAnsiTheme="minorHAnsi"/>
          <w:sz w:val="20"/>
          <w:szCs w:val="20"/>
        </w:rPr>
        <w:t>patterns</w:t>
      </w:r>
      <w:proofErr w:type="gramEnd"/>
      <w:r w:rsidRPr="008E1307">
        <w:rPr>
          <w:rFonts w:asciiTheme="minorHAnsi" w:hAnsiTheme="minorHAnsi"/>
          <w:sz w:val="20"/>
          <w:szCs w:val="20"/>
        </w:rPr>
        <w:t xml:space="preserve"> ability to predict higher overall costs among beneficiaries</w:t>
      </w:r>
    </w:p>
    <w:p w14:paraId="3E84DCFD" w14:textId="77777777" w:rsidR="00F242B5" w:rsidRPr="008E1307" w:rsidRDefault="00F242B5" w:rsidP="00F242B5">
      <w:pPr>
        <w:pStyle w:val="BodyText"/>
        <w:rPr>
          <w:rFonts w:asciiTheme="minorHAnsi" w:hAnsiTheme="minorHAnsi"/>
        </w:rPr>
      </w:pPr>
      <w:r w:rsidRPr="008E1307">
        <w:rPr>
          <w:rFonts w:asciiTheme="minorHAnsi" w:hAnsiTheme="minorHAnsi"/>
        </w:rPr>
        <w:t xml:space="preserve">The differences among the lists provide key pieces of information relevant to decision makers. For marketplace beneficiaries, the amount of primary care copay highly ranked but not important for Medicare beneficiaries where the ER copy amount functions in the </w:t>
      </w:r>
      <w:r w:rsidRPr="008E1307">
        <w:rPr>
          <w:rFonts w:asciiTheme="minorHAnsi" w:hAnsiTheme="minorHAnsi"/>
        </w:rPr>
        <w:lastRenderedPageBreak/>
        <w:t xml:space="preserve">opposite manner. Combined with the clinical differences, there is evidence that different approaches for each population may be most effective in reducing costs. </w:t>
      </w:r>
    </w:p>
    <w:p w14:paraId="0A1EAF14" w14:textId="77777777" w:rsidR="00F242B5" w:rsidRPr="008E1307" w:rsidRDefault="00F242B5" w:rsidP="00F242B5">
      <w:pPr>
        <w:pStyle w:val="BodyText"/>
        <w:rPr>
          <w:rFonts w:asciiTheme="minorHAnsi" w:hAnsiTheme="minorHAnsi"/>
        </w:rPr>
      </w:pPr>
      <w:r w:rsidRPr="008E1307">
        <w:rPr>
          <w:rFonts w:asciiTheme="minorHAnsi" w:hAnsiTheme="minorHAnsi"/>
          <w:i/>
          <w:iCs/>
        </w:rPr>
        <w:t xml:space="preserve">For marketplace beneficiaries: </w:t>
      </w:r>
    </w:p>
    <w:p w14:paraId="562F4B96" w14:textId="0F066207" w:rsidR="00F242B5" w:rsidRPr="008E1307" w:rsidRDefault="00F242B5" w:rsidP="00F242B5">
      <w:pPr>
        <w:pStyle w:val="BodyText"/>
        <w:rPr>
          <w:rFonts w:asciiTheme="minorHAnsi" w:hAnsiTheme="minorHAnsi"/>
        </w:rPr>
      </w:pPr>
      <w:r w:rsidRPr="008E1307">
        <w:rPr>
          <w:rFonts w:asciiTheme="minorHAnsi" w:hAnsiTheme="minorHAnsi"/>
        </w:rPr>
        <w:t>Since the primary care copay and number of ER visits are a significant predictor of cost, there may be an opportunity to lower inpatient admissions through expanding low-cost, high value primary care services for chronic disease management. This can be managed through the offering of different plans that offer low to no cost sharing for these types of services, especially when focused on heart disease prevention</w:t>
      </w:r>
      <w:r w:rsidR="00E85486">
        <w:rPr>
          <w:rFonts w:asciiTheme="minorHAnsi" w:hAnsiTheme="minorHAnsi"/>
        </w:rPr>
        <w:fldChar w:fldCharType="begin"/>
      </w:r>
      <w:r w:rsidR="00E85486">
        <w:rPr>
          <w:rFonts w:asciiTheme="minorHAnsi" w:hAnsiTheme="minorHAnsi"/>
        </w:rPr>
        <w:instrText>ADDIN F1000_CSL_CITATION&lt;~#@#~&gt;[{"title":"Mental Health Interventions with Community Health Workers in the United States: A Systematic Review.","id":"6333652","ArticleId":"732846862","page":"159-180","type":"article-journal","volume":"29","issue":"1","author":[{"family":"Weaver","given":"Addie"},{"family":"Lapidos","given":"Adrienne"}],"issued":{"date-parts":[["2018"]]},"container-title":"Journal of health care for the poor and underserved","container-title-short":"J. Health Care Poor Underserved","journalAbbreviation":"J. Health Care Poor Underserved","DOI":"10.1353/hpu.2018.0011","PMID":"29503292","citation-label":"6333652","Abstract":"Mental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populations.","CleanAbstract":"Mental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w:instrText>
      </w:r>
      <w:r w:rsidR="00E85486">
        <w:rPr>
          <w:rFonts w:asciiTheme="minorHAnsi" w:hAnsiTheme="minorHAnsi"/>
        </w:rPr>
        <w:fldChar w:fldCharType="separate"/>
      </w:r>
      <w:r w:rsidR="00E85486">
        <w:rPr>
          <w:rFonts w:asciiTheme="minorHAnsi" w:hAnsiTheme="minorHAnsi"/>
        </w:rPr>
        <w:t>(35)</w:t>
      </w:r>
      <w:r w:rsidR="00E85486">
        <w:rPr>
          <w:rFonts w:asciiTheme="minorHAnsi" w:hAnsiTheme="minorHAnsi"/>
        </w:rPr>
        <w:fldChar w:fldCharType="end"/>
      </w:r>
      <w:r w:rsidRPr="008E1307">
        <w:rPr>
          <w:rFonts w:asciiTheme="minorHAnsi" w:hAnsiTheme="minorHAnsi"/>
        </w:rPr>
        <w:t>. Non-physician providers (RD, EP, APRN) as well as other wellness sources may be able opportunities for options that have low-marginal cost when applied to a broad population</w:t>
      </w:r>
      <w:r w:rsidR="00E85486">
        <w:rPr>
          <w:rFonts w:asciiTheme="minorHAnsi" w:hAnsiTheme="minorHAnsi"/>
        </w:rPr>
        <w:fldChar w:fldCharType="begin"/>
      </w:r>
      <w:r w:rsidR="00E85486">
        <w:rPr>
          <w:rFonts w:asciiTheme="minorHAnsi" w:hAnsiTheme="minorHAnsi"/>
        </w:rPr>
        <w:instrText>ADDIN F1000_CSL_CITATION&lt;~#@#~&gt;[{"title":"A pilot mobile integrated healthcare program for frequent utilizers of emergency department services.","id":"4961125","ArticleId":"727610500","page":"1702-1705","type":"article-journal","volume":"35","issue":"11","author":[{"family":"Nejtek","given":"Vicki A"},{"family":"Aryal","given":"Subhash"},{"family":"Talari","given":"Deepika"},{"family":"Wang","given":"Hao"},{"family":"O'Neill","given":"Liam"}],"issued":{"date-parts":[["2017","11"]]},"container-title":"The American Journal of Emergency Medicine","container-title-short":"Am. J. Emerg. Med.","journalAbbreviation":"Am. J. Emerg. Med.","DOI":"10.1016/j.ajem.2017.04.061","PMID":"28495031","citation-label":"4961125","Abstract":"&lt;strong&gt;PURPOSE:&lt;/strong&gt; To examine whether or not a mobile integrated health (MIH) program may improve health-related quality of life while reducing emergency department (ED) transports, ED admissions, and inpatient hospital admissions in frequent utilizers of ED services.&lt;br&gt;&lt;br&gt;&lt;strong&gt;METHODS:&lt;/strong&gt; A small retrospective evaluation assessing pre- and post-program quality of life, ED transports, ED admissions, and inpatient hospital admissions was conducted in patients who frequently used the ED for non-emergent or emergent/primary care treatable conditions.&lt;br&gt;&lt;br&gt;&lt;strong&gt;RESULTS:&lt;/strong&gt;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&lt; 0.000), as did ED admissions (9.66±10.2 vs. 3.30±4.6; p&lt; 0.000), and inpatient hospital admissions (3.11±5.5 vs. 1.38±2.5; p=0.003).&lt;br&gt;&lt;br&gt;&lt;strong&gt;CONCLUSION:&lt;/strong&gt;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access.&lt;br&gt;&lt;br&gt;Copyright © 2017 Elsevier Inc. All rights reserved.","CleanAbstract":"PURPOSE: To examine whether or not a mobile integrated health (MIH) program may improve health-related quality of life while reducing emergency department (ED) transports, ED admissions, and inpatient hospital admissions in frequent utilizers of ED services.METHODS: A small retrospective evaluation assessing pre- and post-program quality of life, ED transports, ED admissions, and inpatient hospital admissions was conducted in patients who frequently used the ED for non-emergent or emergent/primary care treatable conditions.RESULTS: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CONCLUSION: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access.Copyright © 2017 Elsevier Inc. All rights reserved."},{"title":"Community paramedicine: part of an integrated healthcare system.","id":"8406543","ArticleId":"734545961","page":"89-90","type":"article-journal","volume":"34","issue":"4","author":[{"family":"Misner","given":"Debbee"}],"issued":{"date-parts":[["2005","4"]]},"container-title":"Emergency medical services","container-title-short":"Emerg. Med. Serv.","journalAbbreviation":"Emerg. Med. Serv.","PMID":"15900876","citation-label":"8406543","CleanAbstract":"No abstract available"},{"title":"Community paramedicine model of care: an observational, ethnographic case study.","id":"3905957","ArticleId":"726121404","page":"39","type":"article-journal","volume":"16","author":[{"family":"O'Meara","given":"Peter"},{"family":"Stirling","given":"Christine"},{"family":"Ruest","given":"Michel"},{"family":"Martin","given":"Angela"}],"issued":{"date-parts":[["2016","2","2"]]},"container-title":"BMC Health Services Research","container-title-short":"BMC Health Serv. Res.","journalAbbreviation":"BMC Health Serv. Res.","DOI":"10.1186/s12913-016-1282-0","PMID":"26842850","PMCID":"PMC4739332","citation-label":"3905957","Abstract":"&lt;strong&gt;BACKGROUND:&lt;/strong&gt;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delivery.&lt;br&gt;&lt;br&gt;&lt;strong&gt;METHODS:&lt;/strong&gt; Using an observational ethnographic case study approach, we collected data through interviews, focus groups and field observations. We then applied a combination of thematic analysis techniques and boundary theory to develop a community paramedicine model of care.&lt;br&gt;&lt;br&gt;&lt;strong&gt;RESULTS:&lt;/strong&gt;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options.&lt;br&gt;&lt;br&gt;&lt;strong&gt;CONCLUSIONS:&lt;/strong&gt;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leadership.","CleanAbstract":"BACKGROUND: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delivery.METHODS: Using an observational ethnographic case study approach, we collected data through interviews, focus groups and field observations. We then applied a combination of thematic analysis techniques and boundary theory to develop a community paramedicine model of care.RESULTS: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options.CONCLUSIONS: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leadership."},{"title":"Community paramedics: a scoping review of their emergence and potential impact","id":"8406553","ArticleId":"729126652","page":"5-12","type":"article-journal","volume":"4","issue":"1","author":[{"family":"O'Meara","given":"Peter"}],"issued":{"date-parts":[["2014","5","21"]]},"container-title":"International Paramedic Practice","container-title-short":"Int. Paramed. Pract.","journalAbbreviation":"Int. Paramed. Pract.","DOI":"10.12968/ippr.2014.4.1.5","citation-label":"8406553","Abstract":"Objectives: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mea...","CleanAbstract":"Objectives: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mea..."},{"title":"Cost-benefit analysis of telehealth in pre-hospital care.","id":"4993655","ArticleId":"732895376","page":"747-751","type":"article-journal","volume":"23","issue":"8","author":[{"family":"Langabeer","given":"James R"},{"family":"Champagne-Langabeer","given":"Tiffany"},{"family":"Alqusairi","given":"Diaa"},{"family":"Kim","given":"Junghyun"},{"family":"Jackson","given":"Adria"},{"family":"Persse","given":"David"},{"family":"Gonzalez","given":"Michael"}],"issued":{"date-parts":[["2017","9"]]},"container-title":"Journal of telemedicine and telecare","container-title-short":"J. Telemed. Telecare","journalAbbreviation":"J. Telemed. Telecare","DOI":"10.1177/1357633X16680541","PMID":"27913657","citation-label":"4993655","Abstract":"Objective There has been very little use of telehealth in pre-hospital emergency medical services (EMS), yet the potential exists for this technology to transform the current delivery model. In this study, we explore the costs and benefits of one large telehealth EMS initiative. Methods Using a case-control study design and both micro- and gross-costing data from the Houston Fire Department EMS electronic patient care record system, we conducted a cost-benefit analysis (CBA) comparing costs with potential savings associated with patients treated through a telehealth-enabled intervention. The intervention consisted of telehealth-based consultation between the 911 patient and an EMS physician, to evaluate and triage the necessity for patient transport to a hospital emergency department (ED). Patients with non-urgent, primary care-related conditions were then scheduled and transported by alternative means to an affiliated primary care clinic. We measured CBA as both total cost savings and cost per ED visit averted, in US Dollars ($USD). Results In total, 5570 patients were treated over the first full 12 months with a telehealth-enabled care model. We found a 6.7% absolute reduction in potentially medically unnecessary ED visits, and a 44-minute reduction in total ambulance back-in-service times. The average cost for a telehealth patient was $167, which was a statistically significantly $103 less than the control group ( p &lt;  .0001). The programme produced a $928,000 annual cost savings from the societal perspective, or $2468 cost savings per ED visit averted (benefit). Conclusion Patient care enabled by telehealth in a pre-hospital environment, is a more cost effective alternative compared to the traditional EMS 'treat and transport to ED' model.","CleanAbstract":"Objective There has been very little use of telehealth in pre-hospital emergency medical services (EMS), yet the potential exists for this technology to transform the current delivery model. In this study, we explore the costs and benefits of one large telehealth EMS initiative. Methods Using a case-control study design and both micro- and gross-costing data from the Houston Fire Department EMS electronic patient care record system, we conducted a cost-benefit analysis (CBA) comparing costs with potential savings associated with patients treated through a telehealth-enabled intervention. The intervention consisted of telehealth-based consultation between the 911 patient and an EMS physician, to evaluate and triage the necessity for patient transport to a hospital emergency department (ED). Patients with non-urgent, primary care-related conditions were then scheduled and transported by alternative means to an affiliated primary care clinic. We measured CBA as both total cost savings and cost per ED visit averted, in US Dollars ($USD). Results In total, 5570 patients were treated over the first full 12 months with a telehealth-enabled care model. We found a 6.7% absolute reduction in potentially medically unnecessary ED visits, and a 44-minute reduction in total ambulance back-in-service times. The average cost for a telehealth patient was $167, which was a statistically significantly $103 less than the control group ( p &lt;  .0001). The programme produced a $928,000 annual cost savings from the societal perspective, or $2468 cost savings per ED visit averted (benefit). Conclusion Patient care enabled by telehealth in a pre-hospital environment, is a more cost effective alternative compared to the traditional EMS 'treat and transport to ED' model."},{"title":"Hospital use declines after implementation of virginia medicaid's addiction and recovery treatment services.","id":"8198427","ArticleId":"737313999","page":"238-246","type":"article-journal","volume":"39","issue":"2","author":[{"family":"Barnes","given":"Andrew J"},{"family":"Cunningham","given":"Peter J"},{"family":"Saxe-Walker","given":"Lauryn"},{"family":"Britton","given":"Erin"},{"family":"Sheng","given":"Yaou"},{"family":"Boynton","given":"Melanie"},{"family":"Harper","given":"Ke'Shawn"},{"family":"Harrell","given":"Ashley"},{"family":"Bachireddy","given":"Chethan"},{"family":"Montz","given":"Ellen"},{"family":"Neuhausen","given":"Kate"}],"issued":{"date-parts":[["2020","2"]]},"container-title":"Health Affairs (Project Hope)","container-title-short":"Health Aff (Millwood)","journalAbbreviation":"Health Aff (Millwood)","DOI":"10.1377/hlthaff.2019.00525","PMID":"32011949","citation-label":"8198427","Abstract":"Medicaid programs responded to the opioid crisis by expanding treatment coverage and reforming delivery systems. We assessed whether Virginia's Addiction and Recovery Treatment Services (ARTS) program, implemented in April 2017, influenced emergency department and inpatient use. Using claims for January 2016-June 2018 and difference-in-differences models, we compared beneficiaries with opioid use disorder before and after ARTS implementation to beneficiaries with no substance use disorder. After program implementation, the likelihood of having an emergency department visit in a quarter declined by 9.4 percentage points (a 21.1 percent relative decrease) among beneficiaries with opioid use disorder, compared to 0.9 percentage points among beneficiaries with no substance use disorder. Similarly, the likelihood of having an inpatient hospitalization declined among beneficiaries with opioid use disorder. In contrast to other states, Virginia has a new Medicaid expansion population whose beneficiaries enter a delivery system in which reforms of the addiction treatment system are well under way.","CleanAbstract":"Medicaid programs responded to the opioid crisis by expanding treatment coverage and reforming delivery systems. We assessed whether Virginia's Addiction and Recovery Treatment Services (ARTS) program, implemented in April 2017, influenced emergency department and inpatient use. Using claims for January 2016-June 2018 and difference-in-differences models, we compared beneficiaries with opioid use disorder before and after ARTS implementation to beneficiaries with no substance use disorder. After program implementation, the likelihood of having an emergency department visit in a quarter declined by 9.4 percentage points (a 21.1 percent relative decrease) among beneficiaries with opioid use disorder, compared to 0.9 percentage points among beneficiaries with no substance use disorder. Similarly, the likelihood of having an inpatient hospitalization declined among beneficiaries with opioid use disorder. In contrast to other states, Virginia has a new Medicaid expansion population whose beneficiaries enter a delivery system in which reforms of the addiction treatment system are well under way."},{"title":"Approaches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programs."},{"title":"The effectiveness of emergency department visit reduction programs: A systematic review.","id":"1788114","ArticleId":"726416625","page":"467-483.e15","type":"article-journal","volume":"68","issue":"4","author":[{"family":"Raven","given":"Maria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Med.","DOI":"10.1016/j.annemergmed.2016.04.015","PMID":"27287549","citation-label":"1788114","Abstract":"&lt;strong&gt;STUDY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w:instrText>
      </w:r>
      <w:r w:rsidR="00E85486">
        <w:rPr>
          <w:rFonts w:asciiTheme="minorHAnsi" w:hAnsiTheme="minorHAnsi"/>
        </w:rPr>
        <w:fldChar w:fldCharType="separate"/>
      </w:r>
      <w:r w:rsidR="00E85486">
        <w:rPr>
          <w:rFonts w:asciiTheme="minorHAnsi" w:hAnsiTheme="minorHAnsi"/>
        </w:rPr>
        <w:t>(2,9,36–41)</w:t>
      </w:r>
      <w:r w:rsidR="00E85486">
        <w:rPr>
          <w:rFonts w:asciiTheme="minorHAnsi" w:hAnsiTheme="minorHAnsi"/>
        </w:rPr>
        <w:fldChar w:fldCharType="end"/>
      </w:r>
      <w:r w:rsidRPr="008E1307">
        <w:rPr>
          <w:rFonts w:asciiTheme="minorHAnsi" w:hAnsiTheme="minorHAnsi"/>
        </w:rPr>
        <w:t xml:space="preserve">. </w:t>
      </w:r>
    </w:p>
    <w:p w14:paraId="6F73919B" w14:textId="77777777" w:rsidR="00F242B5" w:rsidRPr="008E1307" w:rsidRDefault="00F242B5" w:rsidP="00F242B5">
      <w:pPr>
        <w:pStyle w:val="BodyText"/>
        <w:rPr>
          <w:rFonts w:asciiTheme="minorHAnsi" w:hAnsiTheme="minorHAnsi"/>
        </w:rPr>
      </w:pPr>
      <w:r w:rsidRPr="008E1307">
        <w:rPr>
          <w:rFonts w:asciiTheme="minorHAnsi" w:hAnsiTheme="minorHAnsi"/>
          <w:i/>
          <w:iCs/>
        </w:rPr>
        <w:t xml:space="preserve">For Medicare beneficiaries: </w:t>
      </w:r>
    </w:p>
    <w:p w14:paraId="1771D4F1" w14:textId="6A49C457" w:rsidR="00060DF9" w:rsidRPr="008E1307" w:rsidRDefault="00486924" w:rsidP="005F4601">
      <w:pPr>
        <w:pStyle w:val="BodyText"/>
        <w:rPr>
          <w:rFonts w:asciiTheme="minorHAnsi" w:hAnsiTheme="minorHAnsi"/>
        </w:rPr>
      </w:pPr>
      <w:r w:rsidRPr="008E1307">
        <w:rPr>
          <w:rFonts w:asciiTheme="minorHAnsi" w:hAnsiTheme="minorHAnsi"/>
        </w:rPr>
        <w:t>Just as the primary care setting was more significant for the marketplace population, the emergency setting may</w:t>
      </w:r>
      <w:r w:rsidR="00E14812" w:rsidRPr="008E1307">
        <w:rPr>
          <w:rFonts w:asciiTheme="minorHAnsi" w:hAnsiTheme="minorHAnsi"/>
        </w:rPr>
        <w:t xml:space="preserve"> be a better place to focus on cost reductions for this smaller bu</w:t>
      </w:r>
      <w:r w:rsidR="00166480" w:rsidRPr="008E1307">
        <w:rPr>
          <w:rFonts w:asciiTheme="minorHAnsi" w:hAnsiTheme="minorHAnsi"/>
        </w:rPr>
        <w:t>t</w:t>
      </w:r>
      <w:r w:rsidR="00E14812" w:rsidRPr="008E1307">
        <w:rPr>
          <w:rFonts w:asciiTheme="minorHAnsi" w:hAnsiTheme="minorHAnsi"/>
        </w:rPr>
        <w:t xml:space="preserve"> higher average cost population. </w:t>
      </w:r>
      <w:r w:rsidR="009C34B8" w:rsidRPr="008E1307">
        <w:rPr>
          <w:rFonts w:asciiTheme="minorHAnsi" w:hAnsiTheme="minorHAnsi"/>
        </w:rPr>
        <w:t xml:space="preserve">The ER copay may be discouraging pre-emptively addressing an acute condition, leading to a longer hospitalization. For COPD and Diabetes patients, </w:t>
      </w:r>
      <w:r w:rsidR="00C66F83" w:rsidRPr="008E1307">
        <w:rPr>
          <w:rFonts w:asciiTheme="minorHAnsi" w:hAnsiTheme="minorHAnsi"/>
        </w:rPr>
        <w:t xml:space="preserve">lapses in regular care can lead to long hospital visits if not addressed quickly. </w:t>
      </w:r>
      <w:r w:rsidR="001945C0" w:rsidRPr="008E1307">
        <w:rPr>
          <w:rFonts w:asciiTheme="minorHAnsi" w:hAnsiTheme="minorHAnsi"/>
        </w:rPr>
        <w:t xml:space="preserve">While emergency care </w:t>
      </w:r>
      <w:r w:rsidR="00FD7CBD" w:rsidRPr="008E1307">
        <w:rPr>
          <w:rFonts w:asciiTheme="minorHAnsi" w:hAnsiTheme="minorHAnsi"/>
        </w:rPr>
        <w:t xml:space="preserve">in an inpatient setting </w:t>
      </w:r>
      <w:r w:rsidR="001945C0" w:rsidRPr="008E1307">
        <w:rPr>
          <w:rFonts w:asciiTheme="minorHAnsi" w:hAnsiTheme="minorHAnsi"/>
        </w:rPr>
        <w:t xml:space="preserve">can be high cost, </w:t>
      </w:r>
      <w:r w:rsidR="00FD7CBD" w:rsidRPr="008E1307">
        <w:rPr>
          <w:rFonts w:asciiTheme="minorHAnsi" w:hAnsiTheme="minorHAnsi"/>
        </w:rPr>
        <w:t>other</w:t>
      </w:r>
      <w:r w:rsidR="001945C0" w:rsidRPr="008E1307">
        <w:rPr>
          <w:rFonts w:asciiTheme="minorHAnsi" w:hAnsiTheme="minorHAnsi"/>
        </w:rPr>
        <w:t xml:space="preserve"> emergency </w:t>
      </w:r>
      <w:r w:rsidR="008924EB" w:rsidRPr="008E1307">
        <w:rPr>
          <w:rFonts w:asciiTheme="minorHAnsi" w:hAnsiTheme="minorHAnsi"/>
        </w:rPr>
        <w:t xml:space="preserve">providers (EMT, Fire) may be able to provide lower cost high value supports for elderly patients that have higher acuity concerns on a more regular basis. </w:t>
      </w:r>
      <w:r w:rsidR="00487A4F" w:rsidRPr="008E1307">
        <w:rPr>
          <w:rFonts w:asciiTheme="minorHAnsi" w:hAnsiTheme="minorHAnsi"/>
        </w:rPr>
        <w:t>Using plan design and coverage options to e</w:t>
      </w:r>
      <w:r w:rsidR="00C66F83" w:rsidRPr="008E1307">
        <w:rPr>
          <w:rFonts w:asciiTheme="minorHAnsi" w:hAnsiTheme="minorHAnsi"/>
        </w:rPr>
        <w:t xml:space="preserve">xpanding high value emergency care that can </w:t>
      </w:r>
      <w:r w:rsidR="00487A4F" w:rsidRPr="008E1307">
        <w:rPr>
          <w:rFonts w:asciiTheme="minorHAnsi" w:hAnsiTheme="minorHAnsi"/>
        </w:rPr>
        <w:t>respond quickly to acute conditions may be best</w:t>
      </w:r>
      <w:r w:rsidR="00B82A5E" w:rsidRPr="008E1307">
        <w:rPr>
          <w:rFonts w:asciiTheme="minorHAnsi" w:hAnsiTheme="minorHAnsi"/>
        </w:rPr>
        <w:t>, especially when focusing on a smaller population</w:t>
      </w:r>
      <w:r w:rsidR="00E85486">
        <w:rPr>
          <w:rFonts w:asciiTheme="minorHAnsi" w:hAnsiTheme="minorHAnsi"/>
        </w:rPr>
        <w:fldChar w:fldCharType="begin"/>
      </w:r>
      <w:r w:rsidR="00E85486">
        <w:rPr>
          <w:rFonts w:asciiTheme="minorHAnsi" w:hAnsiTheme="minorHAnsi"/>
        </w:rPr>
        <w:instrText>ADDIN F1000_CSL_CITATION&lt;~#@#~&gt;[{"title":"Frequent emergency department visitors are frequent primary care visitors and report unmet primary care needs.","id":"4271138","ArticleId":"729978520","page":"567-573","type":"article-journal","volume":"23","issue":"3","author":[{"family":"Cunningham","given":"Amy"},{"family":"Mautner","given":"Dawn"},{"family":"Ku","given":"Bon"},{"family":"Scott","given":"Kevin"},{"family":"LaNoue","given":"Marianna"}],"issued":{"date-parts":[["2017","6"]]},"container-title":"Journal of Evaluation in Clinical Practice","container-title-short":"J. Eval. Clin. Pract.","journalAbbreviation":"J. Eval. Clin. Pract.","DOI":"10.1111/jep.12672","PMID":"27862710","citation-label":"4271138","Abstract":"A small percentage of emergency department (ED) visitors account for a disproportionate portion of ED visits. Little is known about their relationships with their primary care providers (PCPs). This study compares frequent and infrequent ED visitors' primary care utilization and perceptions of primary care access, continuity, and connectedness and examines primary care utilization and perceptions as predictors of ED use. Data were obtained from 2 cross-sectional studies of psychosocial predictors of high levels of utilization at 2 urban hospitals. Data included age, sex, race/ethnicity, number and type of chronic conditions, self-rated health, and number of primary care and ED visits in the previous 12 months. Participants also answered 8 primary care access, continuity, and connectedness items. Participants with frequent ED visits (N = 70) were younger (43.24 vs 48.34, P = .020), more likely to be African American (61.4% vs 41.8%, P &lt;  .001), had a significant chronic illness burden (5.83 vs 2.83 chronic conditions, P &lt;  .001), and were more likely to report fair or poor health (65.7% vs 50.4%, P = .009). Frequent ED users were as likely as infrequent users to have a usual source of care, and reported similar primary care access, relationship length, and likelihood of provider knowing them well. Although making twice as many primary care visits, these participants were less likely to report that they could get what they need from their PCP (76.12% vs 92.53%, P &lt;  .001). Despite similar primary care access and continuity, frequent ED visitors are less likely to report that they get what they need from their PCPs. Further research should investigate their needs and how primary care can best provide high-value care to this complex population.&lt;br&gt;&lt;br&gt;© 2016 John Wiley &amp; Sons, Ltd.","CleanAbstract":"A small percentage of emergency department (ED) visitors account for a disproportionate portion of ED visits. Little is known about their relationships with their primary care providers (PCPs). This study compares frequent and infrequent ED visitors' primary care utilization and perceptions of primary care access, continuity, and connectedness and examines primary care utilization and perceptions as predictors of ED use. Data were obtained from 2 cross-sectional studies of psychosocial predictors of high levels of utilization at 2 urban hospitals. Data included age, sex, race/ethnicity, number and type of chronic conditions, self-rated health, and number of primary care and ED visits in the previous 12 months. Participants also answered 8 primary care access, continuity, and connectedness items. Participants with frequent ED visits (N = 70) were younger (43.24 vs 48.34, P = .020), more likely to be African American (61.4% vs 41.8%, P © 2016 John Wiley &amp; Sons, Ltd."},{"title":"Telehealth-Enabled Emergency Medical Services Program Reduces Ambulance Transport to Urban Emergency Departments.","id":"6025206","ArticleId":"729739489","page":"713-720","type":"article-journal","volume":"17","issue":"6","author":[{"family":"Langabeer","given":"James R"},{"family":"Gonzalez","given":"Michael"},{"family":"Alqusairi","given":"Diaa"},{"family":"Champagne-Langabeer","given":"Tiffany"},{"family":"Jackson","given":"Adria"},{"family":"Mikhail","given":"Jennifer"},{"family":"Persse","given":"David"}],"issued":{"date-parts":[["2016","11"]]},"container-title":"The Western Journal of Emergency Medicine","container-title-short":"West. J. Emerg. Med.","journalAbbreviation":"West. J. Emerg. Med.","DOI":"10.5811/westjem.2016.8.30660","PMID":"27833678","PMCID":"PMC5102597","citation-label":"6025206","Abstract":"&lt;strong&gt;INTRODUCTION:&lt;/strong&gt; Emergency medical services (EMS) agencies transport a significant majority of patients with low acuity and non-emergent conditions to local emergency departments (ED), affecting the entire emergency care system's capacity and performance. Opportunities exist for alternative models that integrate technology, telehealth, and more appropriately aligned patient navigation. While a limited number of programs have evolved recently, no empirical evidence exists for their efficacy. This research describes the development and comparative effectiveness of one large urban program.&lt;br&gt;&lt;br&gt;&lt;strong&gt;METHODS:&lt;/strong&gt; The Houston Fire Department initiated the Emergency Telehealth and Navigation (ETHAN) program in 2014. ETHAN combines telehealth, social services, and alternative transportation to navigate primary care-related patients away from the ED where possible. Using a case-control study design, we describe the program and compare differences in effectiveness measures relative to the control group.&lt;br&gt;&lt;br&gt;&lt;strong&gt;RESULTS:&lt;/strong&gt; During the first 12 months, 5,570 patients participated in the telehealth-enabled program, which were compared against the same size control group. We found a 56% absolute reduction in ambulance transports to the ED with the intervention compared to the control group (18% vs. 74%, P&lt; .001). EMS productivity (median time from EMS notification to unit back in service) was 44 minutes faster for the ETHAN group (39 vs. 83 minutes, median). There were no statistically significant differences in mortality or patient satisfaction.&lt;br&gt;&lt;br&gt;&lt;strong&gt;CONCLUSION:&lt;/strong&gt; We found that mobile technology-driven delivery models are effective at reducing unnecessary ED ambulance transports and increasing EMS unit productivity. This provides support for broader EMS mobile integrated health programs in other regions.","CleanAbstract":"INTRODUCTION: Emergency medical services (EMS) agencies transport a significant majority of patients with low acuity and non-emergent conditions to local emergency departments (ED), affecting the entire emergency care system's capacity and performance. Opportunities exist for alternative models that integrate technology, telehealth, and more appropriately aligned patient navigation. While a limited number of programs have evolved recently, no empirical evidence exists for their efficacy. This research describes the development and comparative effectiveness of one large urban program.METHODS: The Houston Fire Department initiated the Emergency Telehealth and Navigation (ETHAN) program in 2014. ETHAN combines telehealth, social services, and alternative transportation to navigate primary care-related patients away from the ED where possible. Using a case-control study design, we describe the program and compare differences in effectiveness measures relative to the control group.RESULTS: During the first 12 months, 5,570 patients participated in the telehealth-enabled program, which were compared against the same size control group. We found a 56% absolute reduction in ambulance transports to the ED with the intervention compared to the control group (18% vs. 74%, PCONCLUSION: We found that mobile technology-driven delivery models are effective at reducing unnecessary ED ambulance transports and increasing EMS unit productivity. This provides support for broader EMS mobile integrated health programs in other regions."},{"title":"A pilot mobile integrated healthcare program for frequent utilizers of emergency department services.","id":"4961125","ArticleId":"727610500","page":"1702-1705","type":"article-journal","volume":"35","issue":"11","author":[{"family":"Nejtek","given":"Vicki A"},{"family":"Aryal","given":"Subhash"},{"family":"Talari","given":"Deepika"},{"family":"Wang","given":"Hao"},{"family":"O'Neill","given":"Liam"}],"issued":{"date-parts":[["2017","11"]]},"container-title":"The American Journal of Emergency Medicine","container-title-short":"Am. J. Emerg. Med.","journalAbbreviation":"Am. J. Emerg. Med.","DOI":"10.1016/j.ajem.2017.04.061","PMID":"28495031","citation-label":"4961125","Abstract":"&lt;strong&gt;PURPOSE:&lt;/strong&gt; To examine whether or not a mobile integrated health (MIH) program may improve health-related quality of life while reducing emergency department (ED) transports, ED admissions, and inpatient hospital admissions in frequent utilizers of ED services.&lt;br&gt;&lt;br&gt;&lt;strong&gt;METHODS:&lt;/strong&gt; A small retrospective evaluation assessing pre- and post-program quality of life, ED transports, ED admissions, and inpatient hospital admissions was conducted in patients who frequently used the ED for non-emergent or emergent/primary care treatable conditions.&lt;br&gt;&lt;br&gt;&lt;strong&gt;RESULTS:&lt;/strong&gt;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&lt; 0.000), as did ED admissions (9.66±10.2 vs. 3.30±4.6; p&lt; 0.000), and inpatient hospital admissions (3.11±5.5 vs. 1.38±2.5; p=0.003).&lt;br&gt;&lt;br&gt;&lt;strong&gt;CONCLUSION:&lt;/strong&gt;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access.&lt;br&gt;&lt;br&gt;Copyright © 2017 Elsevier Inc. All rights reserved.","CleanAbstract":"PURPOSE: To examine whether or not a mobile integrated health (MIH) program may improve health-related quality of life while reducing emergency department (ED) transports, ED admissions, and inpatient hospital admissions in frequent utilizers of ED services.METHODS: A small retrospective evaluation assessing pre- and post-program quality of life, ED transports, ED admissions, and inpatient hospital admissions was conducted in patients who frequently used the ED for non-emergent or emergent/primary care treatable conditions.RESULTS: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CONCLUSION: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access.Copyright © 2017 Elsevier Inc. All rights reserved."},{"title":"Community paramedicine: part of an integrated healthcare system.","id":"8406543","ArticleId":"734545961","page":"89-90","type":"article-journal","volume":"34","issue":"4","author":[{"family":"Misner","given":"Debbee"}],"issued":{"date-parts":[["2005","4"]]},"container-title":"Emergency medical services","container-title-short":"Emerg. Med. Serv.","journalAbbreviation":"Emerg. Med. Serv.","PMID":"15900876","citation-label":"8406543","CleanAbstract":"No abstract available"},{"title":"Supporting the on-call primary care physician with community paramedicine.","id":"8406545","ArticleId":"734162387","page":"1261-1264","type":"article-journal","volume":"48","issue":"10","author":[{"family":"Chellappa","given":"Deepa K"},{"family":"DeCherrie","given":"Linda V"},{"family":"Escobar","given":"Christian"},{"family":"Gregoriou","given":"Diana"},{"family":"Munjal","given":"Kevin G"}],"issued":{"date-parts":[["2018","10"]]},"container-title":"Internal Medicine Journal","container-title-short":"Intern. Med. J.","journalAbbreviation":"Intern. Med. J.","DOI":"10.1111/imj.14049","PMID":"30288895","citation-label":"8406545","Abstract":"Prior to being referred to the emergency department (ED), patients such as the frail elderly often call their primary care physician. However, the on-call primary care physician or covering provider does not always have the tools to make an accurate and safe assessment over the phone or to treat patients remotely. This often results in preventable transport to an ED, avoidable admissions and iatrogenic events. An opportunity exists to reduce unnecessary ED referrals by enhancing the capabilities of the on-call primary care physician. In this communication, we describe the development of a community paramedicine programme that supports on-call primary care providers managing a high-risk patient population with the goal of reducing avoidable ED referrals.&lt;br&gt;&lt;br&gt;© 2018 Royal Australasian College of Physicians.","CleanAbstract":"Prior to being referred to the emergency department (ED), patients such as the frail elderly often call their primary care physician. However, the on-call primary care physician or covering provider does not always have the tools to make an accurate and safe assessment over the phone or to treat patients remotely. This often results in preventable transport to an ED, avoidable admissions and iatrogenic events. An opportunity exists to reduce unnecessary ED referrals by enhancing the capabilities of the on-call primary care physician. In this communication, we describe the development of a community paramedicine programme that supports on-call primary care providers managing a high-risk patient population with the goal of reducing avoidable ED referrals.© 2018 Royal Australasian College of Physicians."},{"title":"Community paramedicine model of care: an observational, ethnographic case study.","id":"3905957","ArticleId":"726121404","page":"39","type":"article-journal","volume":"16","author":[{"family":"O'Meara","given":"Peter"},{"family":"Stirling","given":"Christine"},{"family":"Ruest","given":"Michel"},{"family":"Martin","given":"Angela"}],"issued":{"date-parts":[["2016","2","2"]]},"container-title":"BMC Health Services Research","container-title-short":"BMC Health Serv. Res.","journalAbbreviation":"BMC Health Serv. Res.","DOI":"10.1186/s12913-016-1282-0","PMID":"26842850","PMCID":"PMC4739332","citation-label":"3905957","Abstract":"&lt;strong&gt;BACKGROUND:&lt;/strong&gt;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delivery.&lt;br&gt;&lt;br&gt;&lt;strong&gt;METHODS:&lt;/strong&gt; Using an observational ethnographic case study approach, we collected data through interviews, focus groups and field observations. We then applied a combination of thematic analysis techniques and boundary theory to develop a community paramedicine model of care.&lt;br&gt;&lt;br&gt;&lt;strong&gt;RESULTS:&lt;/strong&gt;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options.&lt;br&gt;&lt;br&gt;&lt;strong&gt;CONCLUSIONS:&lt;/strong&gt;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leadership.","CleanAbstract":"BACKGROUND: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delivery.METHODS: Using an observational ethnographic case study approach, we collected data through interviews, focus groups and field observations. We then applied a combination of thematic analysis techniques and boundary theory to develop a community paramedicine model of care.RESULTS: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options.CONCLUSIONS: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leadership."},{"title":"Community paramedicine applied in a rural community.","id":"5025794","ArticleId":"732929258","page":"s39-s47","type":"article-journal","volume":"34 Suppl 1","author":[{"family":"Bennett","given":"Kevin J"},{"family":"Yuen","given":"Matt W"},{"family":"Merrell","given":"Melinda A"}],"issued":{"date-parts":[["2018"]]},"container-title":"The Journal of Rural Health","container-title-short":"J. Rural Health","journalAbbreviation":"J. Rural Health","DOI":"10.1111/jrh.12233","PMID":"28333367","citation-label":"5025794","Abstract":"&lt;strong&gt;RESEARCH OBJECTIVE:&lt;/strong&gt; Abbeville County Emergency Management Services (ACEMS) began a community paramedicine (CP) program to utilize trained paramedics to serve patients who frequently use the emergency department (ED) and have 1 or more of the following diagnoses: hypertension, diabetes, chronic heart failure, asthma, and chronic obstructive pulmonary disease. The objective of this study was to determine if the CP program reduced ED visits in Abbeville while improving patient outcomes.&lt;br&gt;&lt;br&gt;&lt;strong&gt;DESIGN:&lt;/strong&gt; A pre/posttest with a comparison group study design was used to evaluate the CP program. The study population had 193 patients (68 enrollees and 125 comparisons) who resided in Abbeville County, South Carolina. Frequent users of the ED were recruited and enrolled in the program by Abbeville Area Medical Center (AAMC) staff starting in October 2013. Records from both AAMC and ACEMS were examined to determine the impact of the CP program.&lt;br&gt;&lt;br&gt;&lt;strong&gt;RESULTS:&lt;/strong&gt; Hypertensive patients decreased an average of 7.2 mmHg (P &lt;  .0001) in systolic blood pressure and 4.0 mmHg (p &lt;  .0001) in diastolic blood pressure. Diabetic patients decreased blood glucose by an average of 33.7 mmol/L (p = .0013). Following enrollment into the program, CP participants decreased ED visits by 58.7% and inpatient visits by 68.8%. Conversely, the comparison group increased ED visits by 4.0% and inpatient visits by 187.5%.&lt;br&gt;&lt;br&gt;&lt;strong&gt;CONCLUSIONS:&lt;/strong&gt; The CP program demonstrated a meaningful difference in the health of participants while reducing their health care utilization. CP patients reduced their ED and inpatient use, required less intensive care, had better health outcomes, and reduced health expenses to the community.&lt;br&gt;&lt;br&gt;© 2017 National Rural Health Association.","CleanAbstract":"RESEARCH OBJECTIVE: Abbeville County Emergency Management Services (ACEMS) began a community paramedicine (CP) program to utilize trained paramedics to serve patients who frequently use the emergency department (ED) and have 1 or more of the following diagnoses: hypertension, diabetes, chronic heart failure, asthma, and chronic obstructive pulmonary disease. The objective of this study was to determine if the CP program reduced ED visits in Abbeville while improving patient outcomes.DESIGN: A pre/posttest with a comparison group study design was used to evaluate the CP program. The study population had 193 patients (68 enrollees and 125 comparisons) who resided in Abbeville County, South Carolina. Frequent users of the ED were recruited and enrolled in the program by Abbeville Area Medical Center (AAMC) staff starting in October 2013. Records from both AAMC and ACEMS were examined to determine the impact of the CP program.RESULTS: Hypertensive patients decreased an average of 7.2 mmHg (P CONCLUSIONS: The CP program demonstrated a meaningful difference in the health of participants while reducing their health care utilization. CP patients reduced their ED and inpatient use, required less intensive care, had better health outcomes, and reduced health expenses to the community.© 2017 National Rural Health Association."},{"title":"Effectiveness of paramedic practitioners in attending 999 calls from elderly people in the community: cluster randomised controlled trial.","id":"8406565","ArticleId":"737535483","page":"919","type":"article-journal","volume":"335","issue":"7626","author":[{"family":"Mason","given":"Suzanne"},{"family":"Knowles","given":"Emma"},{"family":"Colwell","given":"Brigitte"},{"family":"Dixon","given":"Simon"},{"family":"Wardrope","given":"Jim"},{"family":"Gorringe","given":"Robert"},{"family":"Snooks","given":"Helen"},{"family":"Perrin","given":"Julie"},{"family":"Nicholl","given":"Jon"}],"issued":{"date-parts":[["2007","11","3"]]},"container-title":"BMJ (Clinical Research Ed.)","container-title-short":"BMJ","journalAbbreviation":"BMJ","DOI":"10.1136/bmj.39343.649097.55","PMID":"17916813","PMCID":"PMC2048868","citation-label":"8406565","Abstract":"&lt;strong&gt;OBJECTIVE:&lt;/strong&gt; To evaluate the benefits of paramedic practitioners assessing and, when possible, treating older people in the community after minor injury or illness. Paramedic practitioners have been trained with extended skills to assess, treat, and discharge older patients with minor acute conditions in the community.&lt;br&gt;&lt;br&gt;&lt;strong&gt;DESIGN:&lt;/strong&gt; Cluster randomised controlled trial involving 56 clusters. Weeks were randomised to the paramedic practitioner service being active (intervention) or inactive (control) when the standard 999 service was available.&lt;br&gt;&lt;br&gt;&lt;strong&gt;SETTING:&lt;/strong&gt; A large urban area in England.&lt;br&gt;&lt;br&gt;&lt;strong&gt;PARTICIPANTS:&lt;/strong&gt; 3018 patients aged over 60 who called the emergency services (n=1549 intervention, n=1469 control).&lt;br&gt;&lt;br&gt;&lt;strong&gt;MAIN OUTCOME MEASURES:&lt;/strong&gt; Emergency department attendance or hospital admission between 0 and 28 days; interval from time of call to time of discharge; patients' satisfaction with the service received.&lt;br&gt;&lt;br&gt;&lt;strong&gt;RESULTS:&lt;/strong&gt; Overall, patients in the intervention group were less likely to attend an emergency department (relative risk 0.72, 95% confidence interval 0.68 to 0.75) or require hospital admission within 28 days (0.87, 0.81 to 0.94) and experienced a shorter total episode time (235 v 278 minutes, 95% confidence interval for difference -60 minutes to -25 minutes). Patients in the intervention group were more likely to report being highly satisfied with their healthcare episode (relative risk 1.16, 1.09 to 1.23). There was no significant difference in 28 day mortality (0.87, 0.63 to 1.21).&lt;br&gt;&lt;br&gt;&lt;strong&gt;CONCLUSIONS:&lt;/strong&gt; Paramedics with extended skills can provide a clinically effective alternative to standard ambulance transfer and treatment in an emergency department for elderly patients with acute minor conditions.&lt;br&gt;&lt;br&gt;&lt;strong&gt;TRIAL REGISTRATION:&lt;/strong&gt; ISRCTN27796329 [controlled-trials.com].","CleanAbstract":"OBJECTIVE: To evaluate the benefits of paramedic practitioners assessing and, when possible, treating older people in the community after minor injury or illness. Paramedic practitioners have been trained with extended skills to assess, treat, and discharge older patients with minor acute conditions in the community.DESIGN: Cluster randomised controlled trial involving 56 clusters. Weeks were randomised to the paramedic practitioner service being active (intervention) or inactive (control) when the standard 999 service was available.SETTING: A large urban area in England.PARTICIPANTS: 3018 patients aged over 60 who called the emergency services (n=1549 intervention, n=1469 control).MAIN OUTCOME MEASURES: Emergency department attendance or hospital admission between 0 and 28 days; interval from time of call to time of discharge; patients' satisfaction with the service received.RESULTS: Overall, patients in the intervention group were less likely to attend an emergency department (relative risk 0.72, 95% confidence interval 0.68 to 0.75) or require hospital admission within 28 days (0.87, 0.81 to 0.94) and experienced a shorter total episode time (235 v 278 minutes, 95% confidence interval for difference -60 minutes to -25 minutes). Patients in the intervention group were more likely to report being highly satisfied with their healthcare episode (relative risk 1.16, 1.09 to 1.23). There was no significant difference in 28 day mortality (0.87, 0.63 to 1.21).CONCLUSIONS: Paramedics with extended skills can provide a clinically effective alternative to standard ambulance transfer and treatment in an emergency department for elderly patients with acute minor conditions.TRIAL REGISTRATION: ISRCTN27796329 [controlled-trials.com]."},{"title":"Community paramedics: a scoping review of their emergence and potential impact","id":"8406553","ArticleId":"729126652","page":"5-12","type":"article-journal","volume":"4","issue":"1","author":[{"family":"O'Meara","given":"Peter"}],"issued":{"date-parts":[["2014","5","21"]]},"container-title":"International Paramedic Practice","container-title-short":"Int. Paramed. Pract.","journalAbbreviation":"Int. Paramed. Pract.","DOI":"10.12968/ippr.2014.4.1.5","citation-label":"8406553","Abstract":"Objectives: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mea...","CleanAbstract":"Objectives: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E85486">
        <w:rPr>
          <w:rFonts w:asciiTheme="minorHAnsi" w:hAnsiTheme="minorHAnsi"/>
        </w:rPr>
        <w:fldChar w:fldCharType="separate"/>
      </w:r>
      <w:r w:rsidR="00E85486">
        <w:rPr>
          <w:rFonts w:asciiTheme="minorHAnsi" w:hAnsiTheme="minorHAnsi"/>
        </w:rPr>
        <w:t>(9,36–39,42–46)</w:t>
      </w:r>
      <w:r w:rsidR="00E85486">
        <w:rPr>
          <w:rFonts w:asciiTheme="minorHAnsi" w:hAnsiTheme="minorHAnsi"/>
        </w:rPr>
        <w:fldChar w:fldCharType="end"/>
      </w:r>
      <w:r w:rsidR="00B82A5E" w:rsidRPr="008E1307">
        <w:rPr>
          <w:rFonts w:asciiTheme="minorHAnsi" w:hAnsiTheme="minorHAnsi"/>
        </w:rPr>
        <w:t xml:space="preserve">. </w:t>
      </w:r>
      <w:bookmarkEnd w:id="2"/>
      <w:bookmarkEnd w:id="3"/>
    </w:p>
    <w:p w14:paraId="5E5283F9" w14:textId="507CFC61" w:rsidR="00D605D1" w:rsidRDefault="000D0523" w:rsidP="005F4601">
      <w:pPr>
        <w:pStyle w:val="BodyText"/>
        <w:rPr>
          <w:rFonts w:asciiTheme="minorHAnsi" w:hAnsiTheme="minorHAnsi"/>
        </w:rPr>
      </w:pPr>
      <w:r w:rsidRPr="008E1307">
        <w:rPr>
          <w:rFonts w:asciiTheme="minorHAnsi" w:hAnsiTheme="minorHAnsi"/>
        </w:rPr>
        <w:t>While these recommendations do their best to interpret the existing data w</w:t>
      </w:r>
      <w:r w:rsidR="0074000B" w:rsidRPr="008E1307">
        <w:rPr>
          <w:rFonts w:asciiTheme="minorHAnsi" w:hAnsiTheme="minorHAnsi"/>
        </w:rPr>
        <w:t>ith an objective and quantitative perspective, further analysis is necessary for any kind of implementation or intervention. The methods</w:t>
      </w:r>
      <w:r w:rsidR="00F923A9" w:rsidRPr="008E1307">
        <w:rPr>
          <w:rFonts w:asciiTheme="minorHAnsi" w:hAnsiTheme="minorHAnsi"/>
        </w:rPr>
        <w:t xml:space="preserve"> are designed to showcase how data-driven staring points can be obtained for increasing precision in population health </w:t>
      </w:r>
      <w:r w:rsidR="006E4E53" w:rsidRPr="008E1307">
        <w:rPr>
          <w:rFonts w:asciiTheme="minorHAnsi" w:hAnsiTheme="minorHAnsi"/>
        </w:rPr>
        <w:t xml:space="preserve">management. </w:t>
      </w:r>
    </w:p>
    <w:p w14:paraId="43A5F38B" w14:textId="380587B6" w:rsidR="00D605D1" w:rsidRDefault="00D605D1">
      <w:pPr>
        <w:spacing w:after="0"/>
        <w:rPr>
          <w:rFonts w:asciiTheme="minorHAnsi" w:hAnsiTheme="minorHAnsi" w:cs="Calibri"/>
          <w:color w:val="000000"/>
        </w:rPr>
      </w:pPr>
      <w:r>
        <w:rPr>
          <w:rFonts w:asciiTheme="minorHAnsi" w:hAnsiTheme="minorHAnsi"/>
        </w:rPr>
        <w:br w:type="page"/>
      </w:r>
    </w:p>
    <w:p w14:paraId="33FF22DF" w14:textId="794FFD8C" w:rsidR="00D605D1" w:rsidRDefault="00D605D1" w:rsidP="005F4601">
      <w:pPr>
        <w:pStyle w:val="BodyText"/>
        <w:rPr>
          <w:rFonts w:asciiTheme="minorHAnsi" w:hAnsiTheme="minorHAnsi"/>
        </w:rPr>
      </w:pPr>
      <w:r>
        <w:rPr>
          <w:rFonts w:asciiTheme="minorHAnsi" w:hAnsiTheme="minorHAnsi"/>
        </w:rPr>
        <w:lastRenderedPageBreak/>
        <w:t>References</w:t>
      </w:r>
    </w:p>
    <w:p w14:paraId="461D527A" w14:textId="77777777" w:rsidR="00E85486" w:rsidRDefault="00D605D1" w:rsidP="00E85486">
      <w:pPr>
        <w:pStyle w:val="BodyText"/>
        <w:ind w:left="560" w:hanging="560"/>
        <w:rPr>
          <w:rFonts w:asciiTheme="minorHAnsi" w:hAnsiTheme="minorHAnsi"/>
        </w:rPr>
      </w:pPr>
      <w:r>
        <w:rPr>
          <w:rFonts w:asciiTheme="minorHAnsi" w:hAnsiTheme="minorHAnsi"/>
        </w:rPr>
        <w:fldChar w:fldCharType="begin"/>
      </w:r>
      <w:r>
        <w:rPr>
          <w:rFonts w:asciiTheme="minorHAnsi" w:hAnsiTheme="minorHAnsi"/>
        </w:rPr>
        <w:instrText>ADDIN F1000_CSL_BIBLIOGRAPHY</w:instrText>
      </w:r>
      <w:r>
        <w:rPr>
          <w:rFonts w:asciiTheme="minorHAnsi" w:hAnsiTheme="minorHAnsi"/>
        </w:rPr>
        <w:fldChar w:fldCharType="separate"/>
      </w:r>
      <w:r w:rsidR="00E85486">
        <w:rPr>
          <w:rFonts w:asciiTheme="minorHAnsi" w:hAnsiTheme="minorHAnsi"/>
        </w:rPr>
        <w:t xml:space="preserve">1. </w:t>
      </w:r>
      <w:r w:rsidR="00E85486">
        <w:rPr>
          <w:rFonts w:asciiTheme="minorHAnsi" w:hAnsiTheme="minorHAnsi"/>
        </w:rPr>
        <w:tab/>
        <w:t xml:space="preserve">Kwack H, Sklar D, Skipper B, Kaufman A, Fingado E, Hauswald M. Effect of managed care on emergency department use in an uninsured population. Ann Emerg Med. 2004 Feb;43(2):166–173. </w:t>
      </w:r>
    </w:p>
    <w:p w14:paraId="77E35132" w14:textId="77777777" w:rsidR="00E85486" w:rsidRDefault="00E85486" w:rsidP="00E85486">
      <w:pPr>
        <w:pStyle w:val="BodyText"/>
        <w:ind w:left="560" w:hanging="560"/>
        <w:rPr>
          <w:rFonts w:asciiTheme="minorHAnsi" w:hAnsiTheme="minorHAnsi"/>
        </w:rPr>
      </w:pPr>
      <w:r>
        <w:rPr>
          <w:rFonts w:asciiTheme="minorHAnsi" w:hAnsiTheme="minorHAnsi"/>
        </w:rPr>
        <w:t xml:space="preserve">2. </w:t>
      </w:r>
      <w:r>
        <w:rPr>
          <w:rFonts w:asciiTheme="minorHAnsi" w:hAnsiTheme="minorHAnsi"/>
        </w:rPr>
        <w:tab/>
        <w:t xml:space="preserve">Raven MC, Kushel M, Ko MJ, Penko J, Bindman AB. The effectiveness of emergency department </w:t>
      </w:r>
      <w:proofErr w:type="gramStart"/>
      <w:r>
        <w:rPr>
          <w:rFonts w:asciiTheme="minorHAnsi" w:hAnsiTheme="minorHAnsi"/>
        </w:rPr>
        <w:t>visit</w:t>
      </w:r>
      <w:proofErr w:type="gramEnd"/>
      <w:r>
        <w:rPr>
          <w:rFonts w:asciiTheme="minorHAnsi" w:hAnsiTheme="minorHAnsi"/>
        </w:rPr>
        <w:t xml:space="preserve"> reduction programs: A systematic review. Ann Emerg Med. 2016 Jun 8;68(4):467–483.e15. </w:t>
      </w:r>
    </w:p>
    <w:p w14:paraId="611AB4CA" w14:textId="77777777" w:rsidR="00E85486" w:rsidRDefault="00E85486" w:rsidP="00E85486">
      <w:pPr>
        <w:pStyle w:val="BodyText"/>
        <w:ind w:left="560" w:hanging="560"/>
        <w:rPr>
          <w:rFonts w:asciiTheme="minorHAnsi" w:hAnsiTheme="minorHAnsi"/>
        </w:rPr>
      </w:pPr>
      <w:r>
        <w:rPr>
          <w:rFonts w:asciiTheme="minorHAnsi" w:hAnsiTheme="minorHAnsi"/>
        </w:rPr>
        <w:t xml:space="preserve">3. </w:t>
      </w:r>
      <w:r>
        <w:rPr>
          <w:rFonts w:asciiTheme="minorHAnsi" w:hAnsiTheme="minorHAnsi"/>
        </w:rPr>
        <w:tab/>
        <w:t xml:space="preserve">LaCalle E, Rabin E. Frequent users of emergency departments: the myths, the data, and the policy implications. Ann Emerg Med. 2010 Jul;56(1):42–48. </w:t>
      </w:r>
    </w:p>
    <w:p w14:paraId="21F58AB7" w14:textId="77777777" w:rsidR="00E85486" w:rsidRDefault="00E85486" w:rsidP="00E85486">
      <w:pPr>
        <w:pStyle w:val="BodyText"/>
        <w:ind w:left="560" w:hanging="560"/>
        <w:rPr>
          <w:rFonts w:asciiTheme="minorHAnsi" w:hAnsiTheme="minorHAnsi"/>
        </w:rPr>
      </w:pPr>
      <w:r>
        <w:rPr>
          <w:rFonts w:asciiTheme="minorHAnsi" w:hAnsiTheme="minorHAnsi"/>
        </w:rPr>
        <w:t xml:space="preserve">4. </w:t>
      </w:r>
      <w:r>
        <w:rPr>
          <w:rFonts w:asciiTheme="minorHAnsi" w:hAnsiTheme="minorHAnsi"/>
        </w:rPr>
        <w:tab/>
        <w:t xml:space="preserve">Moe J, Kirkland SW, Rawe E, Ospina MB, Vandermeer B, Campbell S, et al. Effectiveness of interventions to decrease emergency department visits by adult frequent users: A systematic review. </w:t>
      </w:r>
      <w:proofErr w:type="spellStart"/>
      <w:r>
        <w:rPr>
          <w:rFonts w:asciiTheme="minorHAnsi" w:hAnsiTheme="minorHAnsi"/>
        </w:rPr>
        <w:t>Acad</w:t>
      </w:r>
      <w:proofErr w:type="spellEnd"/>
      <w:r>
        <w:rPr>
          <w:rFonts w:asciiTheme="minorHAnsi" w:hAnsiTheme="minorHAnsi"/>
        </w:rPr>
        <w:t xml:space="preserve"> Emerg Med. 2017;24(1):40–52. </w:t>
      </w:r>
    </w:p>
    <w:p w14:paraId="5896514C" w14:textId="77777777" w:rsidR="00E85486" w:rsidRDefault="00E85486" w:rsidP="00E85486">
      <w:pPr>
        <w:pStyle w:val="BodyText"/>
        <w:ind w:left="560" w:hanging="560"/>
        <w:rPr>
          <w:rFonts w:asciiTheme="minorHAnsi" w:hAnsiTheme="minorHAnsi"/>
        </w:rPr>
      </w:pPr>
      <w:r>
        <w:rPr>
          <w:rFonts w:asciiTheme="minorHAnsi" w:hAnsiTheme="minorHAnsi"/>
        </w:rPr>
        <w:t xml:space="preserve">5. </w:t>
      </w:r>
      <w:r>
        <w:rPr>
          <w:rFonts w:asciiTheme="minorHAnsi" w:hAnsiTheme="minorHAnsi"/>
        </w:rPr>
        <w:tab/>
      </w:r>
      <w:proofErr w:type="spellStart"/>
      <w:r>
        <w:rPr>
          <w:rFonts w:asciiTheme="minorHAnsi" w:hAnsiTheme="minorHAnsi"/>
        </w:rPr>
        <w:t>Weinick</w:t>
      </w:r>
      <w:proofErr w:type="spellEnd"/>
      <w:r>
        <w:rPr>
          <w:rFonts w:asciiTheme="minorHAnsi" w:hAnsiTheme="minorHAnsi"/>
        </w:rPr>
        <w:t xml:space="preserve"> RM, Burns RM, Mehrotra A. Many emergency department visits could be managed at urgent care centers and retail clinics. Health </w:t>
      </w:r>
      <w:proofErr w:type="spellStart"/>
      <w:r>
        <w:rPr>
          <w:rFonts w:asciiTheme="minorHAnsi" w:hAnsiTheme="minorHAnsi"/>
        </w:rPr>
        <w:t>Aff</w:t>
      </w:r>
      <w:proofErr w:type="spellEnd"/>
      <w:r>
        <w:rPr>
          <w:rFonts w:asciiTheme="minorHAnsi" w:hAnsiTheme="minorHAnsi"/>
        </w:rPr>
        <w:t xml:space="preserve"> (Millwood). 2010 Sep;29(9):1630–1636. </w:t>
      </w:r>
    </w:p>
    <w:p w14:paraId="0592CF82" w14:textId="77777777" w:rsidR="00E85486" w:rsidRDefault="00E85486" w:rsidP="00E85486">
      <w:pPr>
        <w:pStyle w:val="BodyText"/>
        <w:ind w:left="560" w:hanging="560"/>
        <w:rPr>
          <w:rFonts w:asciiTheme="minorHAnsi" w:hAnsiTheme="minorHAnsi"/>
        </w:rPr>
      </w:pPr>
      <w:r>
        <w:rPr>
          <w:rFonts w:asciiTheme="minorHAnsi" w:hAnsiTheme="minorHAnsi"/>
        </w:rPr>
        <w:t xml:space="preserve">6. </w:t>
      </w:r>
      <w:r>
        <w:rPr>
          <w:rFonts w:asciiTheme="minorHAnsi" w:hAnsiTheme="minorHAnsi"/>
        </w:rPr>
        <w:tab/>
        <w:t xml:space="preserve">Korczak V, Shanthosh J, Jan S, Dinh M, Lung T. </w:t>
      </w:r>
      <w:proofErr w:type="gramStart"/>
      <w:r>
        <w:rPr>
          <w:rFonts w:asciiTheme="minorHAnsi" w:hAnsiTheme="minorHAnsi"/>
        </w:rPr>
        <w:t>Costs</w:t>
      </w:r>
      <w:proofErr w:type="gramEnd"/>
      <w:r>
        <w:rPr>
          <w:rFonts w:asciiTheme="minorHAnsi" w:hAnsiTheme="minorHAnsi"/>
        </w:rPr>
        <w:t xml:space="preserve"> and effects of interventions targeting frequent presenters to the emergency department: a systematic and narrative review. BMC Emerg Med. 2019 Dec 30;19(1):83. </w:t>
      </w:r>
    </w:p>
    <w:p w14:paraId="7361C9ED" w14:textId="77777777" w:rsidR="00E85486" w:rsidRDefault="00E85486" w:rsidP="00E85486">
      <w:pPr>
        <w:pStyle w:val="BodyText"/>
        <w:ind w:left="560" w:hanging="560"/>
        <w:rPr>
          <w:rFonts w:asciiTheme="minorHAnsi" w:hAnsiTheme="minorHAnsi"/>
        </w:rPr>
      </w:pPr>
      <w:r>
        <w:rPr>
          <w:rFonts w:asciiTheme="minorHAnsi" w:hAnsiTheme="minorHAnsi"/>
        </w:rPr>
        <w:t xml:space="preserve">7. </w:t>
      </w:r>
      <w:r>
        <w:rPr>
          <w:rFonts w:asciiTheme="minorHAnsi" w:hAnsiTheme="minorHAnsi"/>
        </w:rPr>
        <w:tab/>
        <w:t xml:space="preserve">Iovan S, Lantz PM, Allan K, Abir M. Interventions to Decrease Use in Prehospital and Emergency Care Settings Among Super-Utilizers in the United States: A Systematic Review. Med Care Res Rev. 2020;77(2):99–111. </w:t>
      </w:r>
    </w:p>
    <w:p w14:paraId="6F42A34E" w14:textId="77777777" w:rsidR="00E85486" w:rsidRDefault="00E85486" w:rsidP="00E85486">
      <w:pPr>
        <w:pStyle w:val="BodyText"/>
        <w:ind w:left="560" w:hanging="560"/>
        <w:rPr>
          <w:rFonts w:asciiTheme="minorHAnsi" w:hAnsiTheme="minorHAnsi"/>
        </w:rPr>
      </w:pPr>
      <w:r>
        <w:rPr>
          <w:rFonts w:asciiTheme="minorHAnsi" w:hAnsiTheme="minorHAnsi"/>
        </w:rPr>
        <w:t xml:space="preserve">8. </w:t>
      </w:r>
      <w:r>
        <w:rPr>
          <w:rFonts w:asciiTheme="minorHAnsi" w:hAnsiTheme="minorHAnsi"/>
        </w:rPr>
        <w:tab/>
        <w:t xml:space="preserve">Ahn S, </w:t>
      </w:r>
      <w:proofErr w:type="spellStart"/>
      <w:r>
        <w:rPr>
          <w:rFonts w:asciiTheme="minorHAnsi" w:hAnsiTheme="minorHAnsi"/>
        </w:rPr>
        <w:t>Basu</w:t>
      </w:r>
      <w:proofErr w:type="spellEnd"/>
      <w:r>
        <w:rPr>
          <w:rFonts w:asciiTheme="minorHAnsi" w:hAnsiTheme="minorHAnsi"/>
        </w:rPr>
        <w:t xml:space="preserve"> R, Smith ML, Jiang L, Lorig K, Whitelaw N, et al. The impact of chronic disease self-management programs: healthcare savings through a community-based intervention. BMC Public Health. 2013 Dec </w:t>
      </w:r>
      <w:proofErr w:type="gramStart"/>
      <w:r>
        <w:rPr>
          <w:rFonts w:asciiTheme="minorHAnsi" w:hAnsiTheme="minorHAnsi"/>
        </w:rPr>
        <w:t>6;13:1141</w:t>
      </w:r>
      <w:proofErr w:type="gramEnd"/>
      <w:r>
        <w:rPr>
          <w:rFonts w:asciiTheme="minorHAnsi" w:hAnsiTheme="minorHAnsi"/>
        </w:rPr>
        <w:t xml:space="preserve">. </w:t>
      </w:r>
    </w:p>
    <w:p w14:paraId="43F73817" w14:textId="77777777" w:rsidR="00E85486" w:rsidRDefault="00E85486" w:rsidP="00E85486">
      <w:pPr>
        <w:pStyle w:val="BodyText"/>
        <w:ind w:left="560" w:hanging="560"/>
        <w:rPr>
          <w:rFonts w:asciiTheme="minorHAnsi" w:hAnsiTheme="minorHAnsi"/>
        </w:rPr>
      </w:pPr>
      <w:r>
        <w:rPr>
          <w:rFonts w:asciiTheme="minorHAnsi" w:hAnsiTheme="minorHAnsi"/>
        </w:rPr>
        <w:t xml:space="preserve">9. </w:t>
      </w:r>
      <w:r>
        <w:rPr>
          <w:rFonts w:asciiTheme="minorHAnsi" w:hAnsiTheme="minorHAnsi"/>
        </w:rPr>
        <w:tab/>
        <w:t xml:space="preserve">Cistola AS, Bak AN, Guyer L, Reed A, Rooks B, Chacko L. Approaches for improving health equity: the effect of the </w:t>
      </w:r>
      <w:proofErr w:type="spellStart"/>
      <w:r>
        <w:rPr>
          <w:rFonts w:asciiTheme="minorHAnsi" w:hAnsiTheme="minorHAnsi"/>
        </w:rPr>
        <w:t>gainesville</w:t>
      </w:r>
      <w:proofErr w:type="spellEnd"/>
      <w:r>
        <w:rPr>
          <w:rFonts w:asciiTheme="minorHAnsi" w:hAnsiTheme="minorHAnsi"/>
        </w:rPr>
        <w:t xml:space="preserve"> community resource paramedic program on reducing emergency department utilization. 2020 Oct </w:t>
      </w:r>
      <w:proofErr w:type="gramStart"/>
      <w:r>
        <w:rPr>
          <w:rFonts w:asciiTheme="minorHAnsi" w:hAnsiTheme="minorHAnsi"/>
        </w:rPr>
        <w:t>8;</w:t>
      </w:r>
      <w:proofErr w:type="gramEnd"/>
      <w:r>
        <w:rPr>
          <w:rFonts w:asciiTheme="minorHAnsi" w:hAnsiTheme="minorHAnsi"/>
        </w:rPr>
        <w:t xml:space="preserve"> </w:t>
      </w:r>
    </w:p>
    <w:p w14:paraId="03D20E51" w14:textId="77777777" w:rsidR="00E85486" w:rsidRDefault="00E85486" w:rsidP="00E85486">
      <w:pPr>
        <w:pStyle w:val="BodyText"/>
        <w:ind w:left="560" w:hanging="560"/>
        <w:rPr>
          <w:rFonts w:asciiTheme="minorHAnsi" w:hAnsiTheme="minorHAnsi"/>
        </w:rPr>
      </w:pPr>
      <w:r>
        <w:rPr>
          <w:rFonts w:asciiTheme="minorHAnsi" w:hAnsiTheme="minorHAnsi"/>
        </w:rPr>
        <w:t xml:space="preserve">10. </w:t>
      </w:r>
      <w:r>
        <w:rPr>
          <w:rFonts w:asciiTheme="minorHAnsi" w:hAnsiTheme="minorHAnsi"/>
        </w:rPr>
        <w:tab/>
        <w:t xml:space="preserve">Sheikh A, Sood HS, Bates DW. Leveraging health information technology to achieve the “triple aim” of healthcare reform. J Am Med Inform Assoc. 2015 Jul;22(4):849–856. </w:t>
      </w:r>
    </w:p>
    <w:p w14:paraId="74EBBE84" w14:textId="77777777" w:rsidR="00E85486" w:rsidRDefault="00E85486" w:rsidP="00E85486">
      <w:pPr>
        <w:pStyle w:val="BodyText"/>
        <w:ind w:left="560" w:hanging="560"/>
        <w:rPr>
          <w:rFonts w:asciiTheme="minorHAnsi" w:hAnsiTheme="minorHAnsi"/>
        </w:rPr>
      </w:pPr>
      <w:r>
        <w:rPr>
          <w:rFonts w:asciiTheme="minorHAnsi" w:hAnsiTheme="minorHAnsi"/>
        </w:rPr>
        <w:t xml:space="preserve">11. </w:t>
      </w:r>
      <w:r>
        <w:rPr>
          <w:rFonts w:asciiTheme="minorHAnsi" w:hAnsiTheme="minorHAnsi"/>
        </w:rPr>
        <w:tab/>
        <w:t xml:space="preserve">Davies S, Schultz E, Raven M, Wang NE, Stocks CL, Delgado MK, et al. Development and validation of the agency for healthcare research and quality measures of potentially preventable emergency department (ED) visits: the ED prevention quality indicators for general health conditions. Health Serv Res. 2017 Oct;52(5):1667–1684. </w:t>
      </w:r>
    </w:p>
    <w:p w14:paraId="6EECBC22" w14:textId="77777777" w:rsidR="00E85486" w:rsidRDefault="00E85486" w:rsidP="00E85486">
      <w:pPr>
        <w:pStyle w:val="BodyText"/>
        <w:ind w:left="560" w:hanging="560"/>
        <w:rPr>
          <w:rFonts w:asciiTheme="minorHAnsi" w:hAnsiTheme="minorHAnsi"/>
        </w:rPr>
      </w:pPr>
      <w:r>
        <w:rPr>
          <w:rFonts w:asciiTheme="minorHAnsi" w:hAnsiTheme="minorHAnsi"/>
        </w:rPr>
        <w:t xml:space="preserve">12. </w:t>
      </w:r>
      <w:r>
        <w:rPr>
          <w:rFonts w:asciiTheme="minorHAnsi" w:hAnsiTheme="minorHAnsi"/>
        </w:rPr>
        <w:tab/>
        <w:t xml:space="preserve">Sentell TL, Seto TB, Young MM, </w:t>
      </w:r>
      <w:proofErr w:type="spellStart"/>
      <w:r>
        <w:rPr>
          <w:rFonts w:asciiTheme="minorHAnsi" w:hAnsiTheme="minorHAnsi"/>
        </w:rPr>
        <w:t>Vawer</w:t>
      </w:r>
      <w:proofErr w:type="spellEnd"/>
      <w:r>
        <w:rPr>
          <w:rFonts w:asciiTheme="minorHAnsi" w:hAnsiTheme="minorHAnsi"/>
        </w:rPr>
        <w:t xml:space="preserve"> M, </w:t>
      </w:r>
      <w:proofErr w:type="spellStart"/>
      <w:r>
        <w:rPr>
          <w:rFonts w:asciiTheme="minorHAnsi" w:hAnsiTheme="minorHAnsi"/>
        </w:rPr>
        <w:t>Quensell</w:t>
      </w:r>
      <w:proofErr w:type="spellEnd"/>
      <w:r>
        <w:rPr>
          <w:rFonts w:asciiTheme="minorHAnsi" w:hAnsiTheme="minorHAnsi"/>
        </w:rPr>
        <w:t xml:space="preserve"> ML, Braun KL, et al. Pathways to potentially preventable hospitalizations for diabetes and heart failure: a qualitative analysis of patient perspectives. BMC Health Serv Res. 2016 Jul </w:t>
      </w:r>
      <w:proofErr w:type="gramStart"/>
      <w:r>
        <w:rPr>
          <w:rFonts w:asciiTheme="minorHAnsi" w:hAnsiTheme="minorHAnsi"/>
        </w:rPr>
        <w:t>26;16:300</w:t>
      </w:r>
      <w:proofErr w:type="gramEnd"/>
      <w:r>
        <w:rPr>
          <w:rFonts w:asciiTheme="minorHAnsi" w:hAnsiTheme="minorHAnsi"/>
        </w:rPr>
        <w:t xml:space="preserve">. </w:t>
      </w:r>
    </w:p>
    <w:p w14:paraId="422A1655"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13. </w:t>
      </w:r>
      <w:r>
        <w:rPr>
          <w:rFonts w:asciiTheme="minorHAnsi" w:hAnsiTheme="minorHAnsi"/>
        </w:rPr>
        <w:tab/>
        <w:t xml:space="preserve">Zhou RA, Baicker K, Taubman S, Finkelstein AN. The Uninsured Do Not Use </w:t>
      </w:r>
      <w:proofErr w:type="gramStart"/>
      <w:r>
        <w:rPr>
          <w:rFonts w:asciiTheme="minorHAnsi" w:hAnsiTheme="minorHAnsi"/>
        </w:rPr>
        <w:t>The</w:t>
      </w:r>
      <w:proofErr w:type="gramEnd"/>
      <w:r>
        <w:rPr>
          <w:rFonts w:asciiTheme="minorHAnsi" w:hAnsiTheme="minorHAnsi"/>
        </w:rPr>
        <w:t xml:space="preserve"> Emergency Department More-They Use Other Care Less. Health </w:t>
      </w:r>
      <w:proofErr w:type="spellStart"/>
      <w:r>
        <w:rPr>
          <w:rFonts w:asciiTheme="minorHAnsi" w:hAnsiTheme="minorHAnsi"/>
        </w:rPr>
        <w:t>Aff</w:t>
      </w:r>
      <w:proofErr w:type="spellEnd"/>
      <w:r>
        <w:rPr>
          <w:rFonts w:asciiTheme="minorHAnsi" w:hAnsiTheme="minorHAnsi"/>
        </w:rPr>
        <w:t xml:space="preserve"> (Millwood). 2017 Dec;36(12):2115–2122. </w:t>
      </w:r>
    </w:p>
    <w:p w14:paraId="2DA5582A" w14:textId="77777777" w:rsidR="00E85486" w:rsidRDefault="00E85486" w:rsidP="00E85486">
      <w:pPr>
        <w:pStyle w:val="BodyText"/>
        <w:ind w:left="560" w:hanging="560"/>
        <w:rPr>
          <w:rFonts w:asciiTheme="minorHAnsi" w:hAnsiTheme="minorHAnsi"/>
        </w:rPr>
      </w:pPr>
      <w:r>
        <w:rPr>
          <w:rFonts w:asciiTheme="minorHAnsi" w:hAnsiTheme="minorHAnsi"/>
        </w:rPr>
        <w:t xml:space="preserve">14. </w:t>
      </w:r>
      <w:r>
        <w:rPr>
          <w:rFonts w:asciiTheme="minorHAnsi" w:hAnsiTheme="minorHAnsi"/>
        </w:rPr>
        <w:tab/>
      </w:r>
      <w:proofErr w:type="spellStart"/>
      <w:r>
        <w:rPr>
          <w:rFonts w:asciiTheme="minorHAnsi" w:hAnsiTheme="minorHAnsi"/>
        </w:rPr>
        <w:t>Enard</w:t>
      </w:r>
      <w:proofErr w:type="spellEnd"/>
      <w:r>
        <w:rPr>
          <w:rFonts w:asciiTheme="minorHAnsi" w:hAnsiTheme="minorHAnsi"/>
        </w:rPr>
        <w:t xml:space="preserve"> KR, </w:t>
      </w:r>
      <w:proofErr w:type="spellStart"/>
      <w:r>
        <w:rPr>
          <w:rFonts w:asciiTheme="minorHAnsi" w:hAnsiTheme="minorHAnsi"/>
        </w:rPr>
        <w:t>Ganelin</w:t>
      </w:r>
      <w:proofErr w:type="spellEnd"/>
      <w:r>
        <w:rPr>
          <w:rFonts w:asciiTheme="minorHAnsi" w:hAnsiTheme="minorHAnsi"/>
        </w:rPr>
        <w:t xml:space="preserve"> DM. Exploring the Value Proposition of Primary Care for Safety-Net Patients Who Utilize Emergency Departments to Address Unmet Needs. J Prim Care Community Health. 2017 Oct;8(4):285–293. </w:t>
      </w:r>
    </w:p>
    <w:p w14:paraId="5938FAA8" w14:textId="77777777" w:rsidR="00E85486" w:rsidRDefault="00E85486" w:rsidP="00E85486">
      <w:pPr>
        <w:pStyle w:val="BodyText"/>
        <w:ind w:left="560" w:hanging="560"/>
        <w:rPr>
          <w:rFonts w:asciiTheme="minorHAnsi" w:hAnsiTheme="minorHAnsi"/>
        </w:rPr>
      </w:pPr>
      <w:r>
        <w:rPr>
          <w:rFonts w:asciiTheme="minorHAnsi" w:hAnsiTheme="minorHAnsi"/>
        </w:rPr>
        <w:t xml:space="preserve">15. </w:t>
      </w:r>
      <w:r>
        <w:rPr>
          <w:rFonts w:asciiTheme="minorHAnsi" w:hAnsiTheme="minorHAnsi"/>
        </w:rPr>
        <w:tab/>
        <w:t xml:space="preserve">Dowd B, </w:t>
      </w:r>
      <w:proofErr w:type="spellStart"/>
      <w:r>
        <w:rPr>
          <w:rFonts w:asciiTheme="minorHAnsi" w:hAnsiTheme="minorHAnsi"/>
        </w:rPr>
        <w:t>Karmarker</w:t>
      </w:r>
      <w:proofErr w:type="spellEnd"/>
      <w:r>
        <w:rPr>
          <w:rFonts w:asciiTheme="minorHAnsi" w:hAnsiTheme="minorHAnsi"/>
        </w:rPr>
        <w:t xml:space="preserve"> M, Swenson T, Parashuram S, Kane R, Coulam R, et al. Emergency department utilization as a measure of physician performance. Am J Med Qual. 2014 Apr;29(2):135–143. </w:t>
      </w:r>
    </w:p>
    <w:p w14:paraId="457223AB" w14:textId="77777777" w:rsidR="00E85486" w:rsidRDefault="00E85486" w:rsidP="00E85486">
      <w:pPr>
        <w:pStyle w:val="BodyText"/>
        <w:ind w:left="560" w:hanging="560"/>
        <w:rPr>
          <w:rFonts w:asciiTheme="minorHAnsi" w:hAnsiTheme="minorHAnsi"/>
        </w:rPr>
      </w:pPr>
      <w:r>
        <w:rPr>
          <w:rFonts w:asciiTheme="minorHAnsi" w:hAnsiTheme="minorHAnsi"/>
        </w:rPr>
        <w:t xml:space="preserve">16. </w:t>
      </w:r>
      <w:r>
        <w:rPr>
          <w:rFonts w:asciiTheme="minorHAnsi" w:hAnsiTheme="minorHAnsi"/>
        </w:rPr>
        <w:tab/>
      </w:r>
      <w:proofErr w:type="spellStart"/>
      <w:r>
        <w:rPr>
          <w:rFonts w:asciiTheme="minorHAnsi" w:hAnsiTheme="minorHAnsi"/>
        </w:rPr>
        <w:t>Giannouchos</w:t>
      </w:r>
      <w:proofErr w:type="spellEnd"/>
      <w:r>
        <w:rPr>
          <w:rFonts w:asciiTheme="minorHAnsi" w:hAnsiTheme="minorHAnsi"/>
        </w:rPr>
        <w:t xml:space="preserve"> TV, Kum H-C, Foster MJ, Ohsfeldt RL. Characteristics and predictors of adult frequent emergency department users in the United States: A systematic literature review. J Eval Clin </w:t>
      </w:r>
      <w:proofErr w:type="spellStart"/>
      <w:r>
        <w:rPr>
          <w:rFonts w:asciiTheme="minorHAnsi" w:hAnsiTheme="minorHAnsi"/>
        </w:rPr>
        <w:t>Pract</w:t>
      </w:r>
      <w:proofErr w:type="spellEnd"/>
      <w:r>
        <w:rPr>
          <w:rFonts w:asciiTheme="minorHAnsi" w:hAnsiTheme="minorHAnsi"/>
        </w:rPr>
        <w:t xml:space="preserve">. 2019 Jun;25(3):420–433. </w:t>
      </w:r>
    </w:p>
    <w:p w14:paraId="172E4CAD" w14:textId="77777777" w:rsidR="00E85486" w:rsidRDefault="00E85486" w:rsidP="00E85486">
      <w:pPr>
        <w:pStyle w:val="BodyText"/>
        <w:ind w:left="560" w:hanging="560"/>
        <w:rPr>
          <w:rFonts w:asciiTheme="minorHAnsi" w:hAnsiTheme="minorHAnsi"/>
        </w:rPr>
      </w:pPr>
      <w:r>
        <w:rPr>
          <w:rFonts w:asciiTheme="minorHAnsi" w:hAnsiTheme="minorHAnsi"/>
        </w:rPr>
        <w:t xml:space="preserve">17. </w:t>
      </w:r>
      <w:r>
        <w:rPr>
          <w:rFonts w:asciiTheme="minorHAnsi" w:hAnsiTheme="minorHAnsi"/>
        </w:rPr>
        <w:tab/>
        <w:t>Emergency Medical Treatment &amp; Labor Act (EMTALA) | CMS [Internet]. [cited 2021 Aug 16]. Available from: https://www.cms.gov/Regulations-and-Guidance/Legislation/EMTALA</w:t>
      </w:r>
    </w:p>
    <w:p w14:paraId="4D8FDD32" w14:textId="77777777" w:rsidR="00E85486" w:rsidRDefault="00E85486" w:rsidP="00E85486">
      <w:pPr>
        <w:pStyle w:val="BodyText"/>
        <w:ind w:left="560" w:hanging="560"/>
        <w:rPr>
          <w:rFonts w:asciiTheme="minorHAnsi" w:hAnsiTheme="minorHAnsi"/>
        </w:rPr>
      </w:pPr>
      <w:r>
        <w:rPr>
          <w:rFonts w:asciiTheme="minorHAnsi" w:hAnsiTheme="minorHAnsi"/>
        </w:rPr>
        <w:t xml:space="preserve">18. </w:t>
      </w:r>
      <w:r>
        <w:rPr>
          <w:rFonts w:asciiTheme="minorHAnsi" w:hAnsiTheme="minorHAnsi"/>
        </w:rPr>
        <w:tab/>
        <w:t xml:space="preserve">Finkelstein A, Zhou A, Taubman S, Doyle J. Health Care </w:t>
      </w:r>
      <w:proofErr w:type="spellStart"/>
      <w:r>
        <w:rPr>
          <w:rFonts w:asciiTheme="minorHAnsi" w:hAnsiTheme="minorHAnsi"/>
        </w:rPr>
        <w:t>Hotspotting</w:t>
      </w:r>
      <w:proofErr w:type="spellEnd"/>
      <w:r>
        <w:rPr>
          <w:rFonts w:asciiTheme="minorHAnsi" w:hAnsiTheme="minorHAnsi"/>
        </w:rPr>
        <w:t xml:space="preserve"> - A Randomized, Controlled Trial. N Engl J Med. 2020 Jan 9;382(2):152–162. </w:t>
      </w:r>
    </w:p>
    <w:p w14:paraId="2B274634" w14:textId="77777777" w:rsidR="00E85486" w:rsidRDefault="00E85486" w:rsidP="00E85486">
      <w:pPr>
        <w:pStyle w:val="BodyText"/>
        <w:ind w:left="560" w:hanging="560"/>
        <w:rPr>
          <w:rFonts w:asciiTheme="minorHAnsi" w:hAnsiTheme="minorHAnsi"/>
        </w:rPr>
      </w:pPr>
      <w:r>
        <w:rPr>
          <w:rFonts w:asciiTheme="minorHAnsi" w:hAnsiTheme="minorHAnsi"/>
        </w:rPr>
        <w:t xml:space="preserve">19. </w:t>
      </w:r>
      <w:r>
        <w:rPr>
          <w:rFonts w:asciiTheme="minorHAnsi" w:hAnsiTheme="minorHAnsi"/>
        </w:rPr>
        <w:tab/>
        <w:t xml:space="preserve">Samuels-Kalow ME, Ciccolo GE, Lin MP, Schoenfeld EM, Camargo CA. The terminology of social emergency medicine: Measuring social determinants of health, social risk, and social need. Journal of the American College of Emergency Physicians Open. 2020 Oct;1(5):852–856. </w:t>
      </w:r>
    </w:p>
    <w:p w14:paraId="1AB8764D" w14:textId="77777777" w:rsidR="00E85486" w:rsidRDefault="00E85486" w:rsidP="00E85486">
      <w:pPr>
        <w:pStyle w:val="BodyText"/>
        <w:ind w:left="560" w:hanging="560"/>
        <w:rPr>
          <w:rFonts w:asciiTheme="minorHAnsi" w:hAnsiTheme="minorHAnsi"/>
        </w:rPr>
      </w:pPr>
      <w:r>
        <w:rPr>
          <w:rFonts w:asciiTheme="minorHAnsi" w:hAnsiTheme="minorHAnsi"/>
        </w:rPr>
        <w:t xml:space="preserve">20. </w:t>
      </w:r>
      <w:r>
        <w:rPr>
          <w:rFonts w:asciiTheme="minorHAnsi" w:hAnsiTheme="minorHAnsi"/>
        </w:rPr>
        <w:tab/>
        <w:t>Centers for Disease Control (CDC) NC for CDP and HP. Chronic Diseases in America [Internet]. Chronic Diseases in America. 2021 [cited 2021 Aug 15]. Available from: https://www.cdc.gov/chronicdisease/resources/infographic/chronic-diseases.htm</w:t>
      </w:r>
    </w:p>
    <w:p w14:paraId="40EF90CF" w14:textId="77777777" w:rsidR="00E85486" w:rsidRDefault="00E85486" w:rsidP="00E85486">
      <w:pPr>
        <w:pStyle w:val="BodyText"/>
        <w:ind w:left="560" w:hanging="560"/>
        <w:rPr>
          <w:rFonts w:asciiTheme="minorHAnsi" w:hAnsiTheme="minorHAnsi"/>
        </w:rPr>
      </w:pPr>
      <w:r>
        <w:rPr>
          <w:rFonts w:asciiTheme="minorHAnsi" w:hAnsiTheme="minorHAnsi"/>
        </w:rPr>
        <w:t xml:space="preserve">21. </w:t>
      </w:r>
      <w:r>
        <w:rPr>
          <w:rFonts w:asciiTheme="minorHAnsi" w:hAnsiTheme="minorHAnsi"/>
        </w:rPr>
        <w:tab/>
        <w:t xml:space="preserve">Mainous AG, Tanner RJ, Jo A, Park K, Beau De </w:t>
      </w:r>
      <w:proofErr w:type="spellStart"/>
      <w:r>
        <w:rPr>
          <w:rFonts w:asciiTheme="minorHAnsi" w:hAnsiTheme="minorHAnsi"/>
        </w:rPr>
        <w:t>Rochars</w:t>
      </w:r>
      <w:proofErr w:type="spellEnd"/>
      <w:r>
        <w:rPr>
          <w:rFonts w:asciiTheme="minorHAnsi" w:hAnsiTheme="minorHAnsi"/>
        </w:rPr>
        <w:t xml:space="preserve"> VM. Trends in Cardiovascular Disease Risk in the U.S., 1999-2014. Am J Prev Med. 2018 Jun 27;55(3):384–388. </w:t>
      </w:r>
    </w:p>
    <w:p w14:paraId="4857CF18" w14:textId="77777777" w:rsidR="00E85486" w:rsidRDefault="00E85486" w:rsidP="00E85486">
      <w:pPr>
        <w:pStyle w:val="BodyText"/>
        <w:ind w:left="560" w:hanging="560"/>
        <w:rPr>
          <w:rFonts w:asciiTheme="minorHAnsi" w:hAnsiTheme="minorHAnsi"/>
        </w:rPr>
      </w:pPr>
      <w:r>
        <w:rPr>
          <w:rFonts w:asciiTheme="minorHAnsi" w:hAnsiTheme="minorHAnsi"/>
        </w:rPr>
        <w:t xml:space="preserve">22. </w:t>
      </w:r>
      <w:r>
        <w:rPr>
          <w:rFonts w:asciiTheme="minorHAnsi" w:hAnsiTheme="minorHAnsi"/>
        </w:rPr>
        <w:tab/>
        <w:t xml:space="preserve">Mokdad AH, Marks JS, Stroup DF, Gerberding JL. Actual causes of death in the United States, 2000. JAMA. 2004 Mar 10;291(10):1238–1245. </w:t>
      </w:r>
    </w:p>
    <w:p w14:paraId="74EE580C" w14:textId="77777777" w:rsidR="00E85486" w:rsidRDefault="00E85486" w:rsidP="00E85486">
      <w:pPr>
        <w:pStyle w:val="BodyText"/>
        <w:ind w:left="560" w:hanging="560"/>
        <w:rPr>
          <w:rFonts w:asciiTheme="minorHAnsi" w:hAnsiTheme="minorHAnsi"/>
        </w:rPr>
      </w:pPr>
      <w:r>
        <w:rPr>
          <w:rFonts w:asciiTheme="minorHAnsi" w:hAnsiTheme="minorHAnsi"/>
        </w:rPr>
        <w:t xml:space="preserve">23. </w:t>
      </w:r>
      <w:r>
        <w:rPr>
          <w:rFonts w:asciiTheme="minorHAnsi" w:hAnsiTheme="minorHAnsi"/>
        </w:rPr>
        <w:tab/>
        <w:t>Department of Health and Human Services. About the Affordable Care Act [Internet]. About the ACA. 2021 [cited 2021 Aug 16]. Available from: https://www.hhs.gov/healthcare/about-the-aca/index.html</w:t>
      </w:r>
    </w:p>
    <w:p w14:paraId="0D78B5FF" w14:textId="77777777" w:rsidR="00E85486" w:rsidRDefault="00E85486" w:rsidP="00E85486">
      <w:pPr>
        <w:pStyle w:val="BodyText"/>
        <w:ind w:left="560" w:hanging="560"/>
        <w:rPr>
          <w:rFonts w:asciiTheme="minorHAnsi" w:hAnsiTheme="minorHAnsi"/>
        </w:rPr>
      </w:pPr>
      <w:r>
        <w:rPr>
          <w:rFonts w:asciiTheme="minorHAnsi" w:hAnsiTheme="minorHAnsi"/>
        </w:rPr>
        <w:t xml:space="preserve">24. </w:t>
      </w:r>
      <w:r>
        <w:rPr>
          <w:rFonts w:asciiTheme="minorHAnsi" w:hAnsiTheme="minorHAnsi"/>
        </w:rPr>
        <w:tab/>
        <w:t xml:space="preserve">Sanz H, Valim C, Vegas E, Oller JM, </w:t>
      </w:r>
      <w:proofErr w:type="spellStart"/>
      <w:r>
        <w:rPr>
          <w:rFonts w:asciiTheme="minorHAnsi" w:hAnsiTheme="minorHAnsi"/>
        </w:rPr>
        <w:t>Reverter</w:t>
      </w:r>
      <w:proofErr w:type="spellEnd"/>
      <w:r>
        <w:rPr>
          <w:rFonts w:asciiTheme="minorHAnsi" w:hAnsiTheme="minorHAnsi"/>
        </w:rPr>
        <w:t xml:space="preserve"> F. SVM-RFE: selection and visualization of the most relevant features through non-linear kernels. BMC Bioinformatics. 2018 Nov 19;19(1):432. </w:t>
      </w:r>
    </w:p>
    <w:p w14:paraId="49DB3060" w14:textId="77777777" w:rsidR="00E85486" w:rsidRDefault="00E85486" w:rsidP="00E85486">
      <w:pPr>
        <w:pStyle w:val="BodyText"/>
        <w:ind w:left="560" w:hanging="560"/>
        <w:rPr>
          <w:rFonts w:asciiTheme="minorHAnsi" w:hAnsiTheme="minorHAnsi"/>
        </w:rPr>
      </w:pPr>
      <w:r>
        <w:rPr>
          <w:rFonts w:asciiTheme="minorHAnsi" w:hAnsiTheme="minorHAnsi"/>
        </w:rPr>
        <w:t xml:space="preserve">25. </w:t>
      </w:r>
      <w:r>
        <w:rPr>
          <w:rFonts w:asciiTheme="minorHAnsi" w:hAnsiTheme="minorHAnsi"/>
        </w:rPr>
        <w:tab/>
        <w:t xml:space="preserve">Escanilla NS, Hellerstein L, Kleiman R, Kuang Z, Shull JD, Page D. Recursive feature elimination by sensitivity testing. Proc Int Conf Mach Learn Appl. 2018 </w:t>
      </w:r>
      <w:proofErr w:type="gramStart"/>
      <w:r>
        <w:rPr>
          <w:rFonts w:asciiTheme="minorHAnsi" w:hAnsiTheme="minorHAnsi"/>
        </w:rPr>
        <w:t>Dec;2018:40</w:t>
      </w:r>
      <w:proofErr w:type="gramEnd"/>
      <w:r>
        <w:rPr>
          <w:rFonts w:asciiTheme="minorHAnsi" w:hAnsiTheme="minorHAnsi"/>
        </w:rPr>
        <w:t xml:space="preserve">–47. </w:t>
      </w:r>
    </w:p>
    <w:p w14:paraId="209A21D7" w14:textId="77777777" w:rsidR="00E85486" w:rsidRDefault="00E85486" w:rsidP="00E85486">
      <w:pPr>
        <w:pStyle w:val="BodyText"/>
        <w:ind w:left="560" w:hanging="560"/>
        <w:rPr>
          <w:rFonts w:asciiTheme="minorHAnsi" w:hAnsiTheme="minorHAnsi"/>
        </w:rPr>
      </w:pPr>
      <w:r>
        <w:rPr>
          <w:rFonts w:asciiTheme="minorHAnsi" w:hAnsiTheme="minorHAnsi"/>
        </w:rPr>
        <w:t xml:space="preserve">26. </w:t>
      </w:r>
      <w:r>
        <w:rPr>
          <w:rFonts w:asciiTheme="minorHAnsi" w:hAnsiTheme="minorHAnsi"/>
        </w:rPr>
        <w:tab/>
        <w:t xml:space="preserve">Peng Y, Wu Z, Jiang J. A novel feature selection approach for biomedical data classification. J Biomed Inform. 2010 Feb;43(1):15–23. </w:t>
      </w:r>
    </w:p>
    <w:p w14:paraId="2C4C390A"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27. </w:t>
      </w:r>
      <w:r>
        <w:rPr>
          <w:rFonts w:asciiTheme="minorHAnsi" w:hAnsiTheme="minorHAnsi"/>
        </w:rPr>
        <w:tab/>
        <w:t xml:space="preserve">Wang W, </w:t>
      </w:r>
      <w:proofErr w:type="spellStart"/>
      <w:r>
        <w:rPr>
          <w:rFonts w:asciiTheme="minorHAnsi" w:hAnsiTheme="minorHAnsi"/>
        </w:rPr>
        <w:t>Kiik</w:t>
      </w:r>
      <w:proofErr w:type="spellEnd"/>
      <w:r>
        <w:rPr>
          <w:rFonts w:asciiTheme="minorHAnsi" w:hAnsiTheme="minorHAnsi"/>
        </w:rPr>
        <w:t xml:space="preserve"> M, Peek N, </w:t>
      </w:r>
      <w:proofErr w:type="spellStart"/>
      <w:r>
        <w:rPr>
          <w:rFonts w:asciiTheme="minorHAnsi" w:hAnsiTheme="minorHAnsi"/>
        </w:rPr>
        <w:t>Curcin</w:t>
      </w:r>
      <w:proofErr w:type="spellEnd"/>
      <w:r>
        <w:rPr>
          <w:rFonts w:asciiTheme="minorHAnsi" w:hAnsiTheme="minorHAnsi"/>
        </w:rPr>
        <w:t xml:space="preserve"> V, Marshall IJ, Rudd AG, et al. A systematic review of machine learning models for predicting outcomes of stroke with structured data. </w:t>
      </w:r>
      <w:proofErr w:type="spellStart"/>
      <w:r>
        <w:rPr>
          <w:rFonts w:asciiTheme="minorHAnsi" w:hAnsiTheme="minorHAnsi"/>
        </w:rPr>
        <w:t>PLoS</w:t>
      </w:r>
      <w:proofErr w:type="spellEnd"/>
      <w:r>
        <w:rPr>
          <w:rFonts w:asciiTheme="minorHAnsi" w:hAnsiTheme="minorHAnsi"/>
        </w:rPr>
        <w:t xml:space="preserve"> One. 2020 Jun 12;15(6</w:t>
      </w:r>
      <w:proofErr w:type="gramStart"/>
      <w:r>
        <w:rPr>
          <w:rFonts w:asciiTheme="minorHAnsi" w:hAnsiTheme="minorHAnsi"/>
        </w:rPr>
        <w:t>):e</w:t>
      </w:r>
      <w:proofErr w:type="gramEnd"/>
      <w:r>
        <w:rPr>
          <w:rFonts w:asciiTheme="minorHAnsi" w:hAnsiTheme="minorHAnsi"/>
        </w:rPr>
        <w:t xml:space="preserve">0234722. </w:t>
      </w:r>
    </w:p>
    <w:p w14:paraId="20A5013E" w14:textId="77777777" w:rsidR="00E85486" w:rsidRDefault="00E85486" w:rsidP="00E85486">
      <w:pPr>
        <w:pStyle w:val="BodyText"/>
        <w:ind w:left="560" w:hanging="560"/>
        <w:rPr>
          <w:rFonts w:asciiTheme="minorHAnsi" w:hAnsiTheme="minorHAnsi"/>
        </w:rPr>
      </w:pPr>
      <w:r>
        <w:rPr>
          <w:rFonts w:asciiTheme="minorHAnsi" w:hAnsiTheme="minorHAnsi"/>
        </w:rPr>
        <w:t xml:space="preserve">28. </w:t>
      </w:r>
      <w:r>
        <w:rPr>
          <w:rFonts w:asciiTheme="minorHAnsi" w:hAnsiTheme="minorHAnsi"/>
        </w:rPr>
        <w:tab/>
        <w:t xml:space="preserve">Peng H, Long F, Ding C. Feature selection based on mutual information: criteria of max-dependency, max-relevance, and min-redundancy. IEEE Trans Pattern Anal Mach </w:t>
      </w:r>
      <w:proofErr w:type="spellStart"/>
      <w:r>
        <w:rPr>
          <w:rFonts w:asciiTheme="minorHAnsi" w:hAnsiTheme="minorHAnsi"/>
        </w:rPr>
        <w:t>Intell</w:t>
      </w:r>
      <w:proofErr w:type="spellEnd"/>
      <w:r>
        <w:rPr>
          <w:rFonts w:asciiTheme="minorHAnsi" w:hAnsiTheme="minorHAnsi"/>
        </w:rPr>
        <w:t xml:space="preserve">. 2005 Aug;27(8):1226–1238. </w:t>
      </w:r>
    </w:p>
    <w:p w14:paraId="69116BC6" w14:textId="77777777" w:rsidR="00E85486" w:rsidRDefault="00E85486" w:rsidP="00E85486">
      <w:pPr>
        <w:pStyle w:val="BodyText"/>
        <w:ind w:left="560" w:hanging="560"/>
        <w:rPr>
          <w:rFonts w:asciiTheme="minorHAnsi" w:hAnsiTheme="minorHAnsi"/>
        </w:rPr>
      </w:pPr>
      <w:r>
        <w:rPr>
          <w:rFonts w:asciiTheme="minorHAnsi" w:hAnsiTheme="minorHAnsi"/>
        </w:rPr>
        <w:t xml:space="preserve">29. </w:t>
      </w:r>
      <w:r>
        <w:rPr>
          <w:rFonts w:asciiTheme="minorHAnsi" w:hAnsiTheme="minorHAnsi"/>
        </w:rPr>
        <w:tab/>
      </w:r>
      <w:proofErr w:type="spellStart"/>
      <w:r>
        <w:rPr>
          <w:rFonts w:asciiTheme="minorHAnsi" w:hAnsiTheme="minorHAnsi"/>
        </w:rPr>
        <w:t>Hapfelmeier</w:t>
      </w:r>
      <w:proofErr w:type="spellEnd"/>
      <w:r>
        <w:rPr>
          <w:rFonts w:asciiTheme="minorHAnsi" w:hAnsiTheme="minorHAnsi"/>
        </w:rPr>
        <w:t xml:space="preserve"> A, Ulm K. A new variable selection approach using Random Forests. </w:t>
      </w:r>
      <w:proofErr w:type="spellStart"/>
      <w:r>
        <w:rPr>
          <w:rFonts w:asciiTheme="minorHAnsi" w:hAnsiTheme="minorHAnsi"/>
        </w:rPr>
        <w:t>Comput</w:t>
      </w:r>
      <w:proofErr w:type="spellEnd"/>
      <w:r>
        <w:rPr>
          <w:rFonts w:asciiTheme="minorHAnsi" w:hAnsiTheme="minorHAnsi"/>
        </w:rPr>
        <w:t xml:space="preserve"> Stat Data Anal. 2013 </w:t>
      </w:r>
      <w:proofErr w:type="gramStart"/>
      <w:r>
        <w:rPr>
          <w:rFonts w:asciiTheme="minorHAnsi" w:hAnsiTheme="minorHAnsi"/>
        </w:rPr>
        <w:t>Apr;60:50</w:t>
      </w:r>
      <w:proofErr w:type="gramEnd"/>
      <w:r>
        <w:rPr>
          <w:rFonts w:asciiTheme="minorHAnsi" w:hAnsiTheme="minorHAnsi"/>
        </w:rPr>
        <w:t xml:space="preserve">–69. </w:t>
      </w:r>
    </w:p>
    <w:p w14:paraId="7E08B18E" w14:textId="77777777" w:rsidR="00E85486" w:rsidRDefault="00E85486" w:rsidP="00E85486">
      <w:pPr>
        <w:pStyle w:val="BodyText"/>
        <w:ind w:left="560" w:hanging="560"/>
        <w:rPr>
          <w:rFonts w:asciiTheme="minorHAnsi" w:hAnsiTheme="minorHAnsi"/>
        </w:rPr>
      </w:pPr>
      <w:r>
        <w:rPr>
          <w:rFonts w:asciiTheme="minorHAnsi" w:hAnsiTheme="minorHAnsi"/>
        </w:rPr>
        <w:t xml:space="preserve">30. </w:t>
      </w:r>
      <w:r>
        <w:rPr>
          <w:rFonts w:asciiTheme="minorHAnsi" w:hAnsiTheme="minorHAnsi"/>
        </w:rPr>
        <w:tab/>
        <w:t xml:space="preserve">Chandrashekar G, Sahin F. A survey on feature selection methods. Computers &amp; Electrical Engineering. 2014 Jan;40(1):16–28. </w:t>
      </w:r>
    </w:p>
    <w:p w14:paraId="7C1BD5F4" w14:textId="77777777" w:rsidR="00E85486" w:rsidRDefault="00E85486" w:rsidP="00E85486">
      <w:pPr>
        <w:pStyle w:val="BodyText"/>
        <w:ind w:left="560" w:hanging="560"/>
        <w:rPr>
          <w:rFonts w:asciiTheme="minorHAnsi" w:hAnsiTheme="minorHAnsi"/>
        </w:rPr>
      </w:pPr>
      <w:r>
        <w:rPr>
          <w:rFonts w:asciiTheme="minorHAnsi" w:hAnsiTheme="minorHAnsi"/>
        </w:rPr>
        <w:t xml:space="preserve">31. </w:t>
      </w:r>
      <w:r>
        <w:rPr>
          <w:rFonts w:asciiTheme="minorHAnsi" w:hAnsiTheme="minorHAnsi"/>
        </w:rPr>
        <w:tab/>
        <w:t xml:space="preserve">Song F, Guo Z, Mei D. Feature selection using principal component analysis. 2010 International Conference on System Science, Engineering Design and Manufacturing Informatization. IEEE; 2010. p. 27–30. </w:t>
      </w:r>
    </w:p>
    <w:p w14:paraId="3FEEE5B2" w14:textId="77777777" w:rsidR="00E85486" w:rsidRDefault="00E85486" w:rsidP="00E85486">
      <w:pPr>
        <w:pStyle w:val="BodyText"/>
        <w:ind w:left="560" w:hanging="560"/>
        <w:rPr>
          <w:rFonts w:asciiTheme="minorHAnsi" w:hAnsiTheme="minorHAnsi"/>
        </w:rPr>
      </w:pPr>
      <w:r>
        <w:rPr>
          <w:rFonts w:asciiTheme="minorHAnsi" w:hAnsiTheme="minorHAnsi"/>
        </w:rPr>
        <w:t xml:space="preserve">32. </w:t>
      </w:r>
      <w:r>
        <w:rPr>
          <w:rFonts w:asciiTheme="minorHAnsi" w:hAnsiTheme="minorHAnsi"/>
        </w:rPr>
        <w:tab/>
        <w:t xml:space="preserve">Roffo G, </w:t>
      </w:r>
      <w:proofErr w:type="spellStart"/>
      <w:r>
        <w:rPr>
          <w:rFonts w:asciiTheme="minorHAnsi" w:hAnsiTheme="minorHAnsi"/>
        </w:rPr>
        <w:t>Melzi</w:t>
      </w:r>
      <w:proofErr w:type="spellEnd"/>
      <w:r>
        <w:rPr>
          <w:rFonts w:asciiTheme="minorHAnsi" w:hAnsiTheme="minorHAnsi"/>
        </w:rPr>
        <w:t xml:space="preserve"> S. Features selection via eigenvector centrality. Proceedings of new frontiers in mining complex patterns (NFMCP </w:t>
      </w:r>
      <w:proofErr w:type="gramStart"/>
      <w:r>
        <w:rPr>
          <w:rFonts w:asciiTheme="minorHAnsi" w:hAnsiTheme="minorHAnsi"/>
        </w:rPr>
        <w:t>2016)(</w:t>
      </w:r>
      <w:proofErr w:type="gramEnd"/>
      <w:r>
        <w:rPr>
          <w:rFonts w:asciiTheme="minorHAnsi" w:hAnsiTheme="minorHAnsi"/>
        </w:rPr>
        <w:t xml:space="preserve">Oct 2016). </w:t>
      </w:r>
      <w:proofErr w:type="gramStart"/>
      <w:r>
        <w:rPr>
          <w:rFonts w:asciiTheme="minorHAnsi" w:hAnsiTheme="minorHAnsi"/>
        </w:rPr>
        <w:t>2016;</w:t>
      </w:r>
      <w:proofErr w:type="gramEnd"/>
      <w:r>
        <w:rPr>
          <w:rFonts w:asciiTheme="minorHAnsi" w:hAnsiTheme="minorHAnsi"/>
        </w:rPr>
        <w:t xml:space="preserve"> </w:t>
      </w:r>
    </w:p>
    <w:p w14:paraId="44EE2B6C" w14:textId="77777777" w:rsidR="00E85486" w:rsidRDefault="00E85486" w:rsidP="00E85486">
      <w:pPr>
        <w:pStyle w:val="BodyText"/>
        <w:ind w:left="560" w:hanging="560"/>
        <w:rPr>
          <w:rFonts w:asciiTheme="minorHAnsi" w:hAnsiTheme="minorHAnsi"/>
        </w:rPr>
      </w:pPr>
      <w:r>
        <w:rPr>
          <w:rFonts w:asciiTheme="minorHAnsi" w:hAnsiTheme="minorHAnsi"/>
        </w:rPr>
        <w:t xml:space="preserve">33. </w:t>
      </w:r>
      <w:r>
        <w:rPr>
          <w:rFonts w:asciiTheme="minorHAnsi" w:hAnsiTheme="minorHAnsi"/>
        </w:rPr>
        <w:tab/>
        <w:t xml:space="preserve">Cistola AS. </w:t>
      </w:r>
      <w:proofErr w:type="spellStart"/>
      <w:r>
        <w:rPr>
          <w:rFonts w:asciiTheme="minorHAnsi" w:hAnsiTheme="minorHAnsi"/>
        </w:rPr>
        <w:t>FractureProof</w:t>
      </w:r>
      <w:proofErr w:type="spellEnd"/>
      <w:r>
        <w:rPr>
          <w:rFonts w:asciiTheme="minorHAnsi" w:hAnsiTheme="minorHAnsi"/>
        </w:rPr>
        <w:t xml:space="preserve">: An </w:t>
      </w:r>
      <w:proofErr w:type="gramStart"/>
      <w:r>
        <w:rPr>
          <w:rFonts w:asciiTheme="minorHAnsi" w:hAnsiTheme="minorHAnsi"/>
        </w:rPr>
        <w:t>open source</w:t>
      </w:r>
      <w:proofErr w:type="gramEnd"/>
      <w:r>
        <w:rPr>
          <w:rFonts w:asciiTheme="minorHAnsi" w:hAnsiTheme="minorHAnsi"/>
        </w:rPr>
        <w:t xml:space="preserve"> artificial intelligence process for precision public health. OSF; 2020 [cited 2020 Dec 4]. Available from: https://osf.io/dj6ub/</w:t>
      </w:r>
    </w:p>
    <w:p w14:paraId="4B802BCB" w14:textId="77777777" w:rsidR="00E85486" w:rsidRDefault="00E85486" w:rsidP="00E85486">
      <w:pPr>
        <w:pStyle w:val="BodyText"/>
        <w:ind w:left="560" w:hanging="560"/>
        <w:rPr>
          <w:rFonts w:asciiTheme="minorHAnsi" w:hAnsiTheme="minorHAnsi"/>
        </w:rPr>
      </w:pPr>
      <w:r>
        <w:rPr>
          <w:rFonts w:asciiTheme="minorHAnsi" w:hAnsiTheme="minorHAnsi"/>
        </w:rPr>
        <w:t xml:space="preserve">34. </w:t>
      </w:r>
      <w:r>
        <w:rPr>
          <w:rFonts w:asciiTheme="minorHAnsi" w:hAnsiTheme="minorHAnsi"/>
        </w:rPr>
        <w:tab/>
        <w:t xml:space="preserve">Cistola AS. Finding Value: Community and Quality Predictors of Value Based Payment Adjustments Among Florida Hospitals. Academy Health; 2021. </w:t>
      </w:r>
    </w:p>
    <w:p w14:paraId="621B524B" w14:textId="77777777" w:rsidR="00E85486" w:rsidRDefault="00E85486" w:rsidP="00E85486">
      <w:pPr>
        <w:pStyle w:val="BodyText"/>
        <w:ind w:left="560" w:hanging="560"/>
        <w:rPr>
          <w:rFonts w:asciiTheme="minorHAnsi" w:hAnsiTheme="minorHAnsi"/>
        </w:rPr>
      </w:pPr>
      <w:r>
        <w:rPr>
          <w:rFonts w:asciiTheme="minorHAnsi" w:hAnsiTheme="minorHAnsi"/>
        </w:rPr>
        <w:t xml:space="preserve">35. </w:t>
      </w:r>
      <w:r>
        <w:rPr>
          <w:rFonts w:asciiTheme="minorHAnsi" w:hAnsiTheme="minorHAnsi"/>
        </w:rPr>
        <w:tab/>
        <w:t xml:space="preserve">Weaver A, Lapidos A. Mental Health Interventions with Community Health Workers in the United States: A Systematic Review. J Health Care Poor Underserved. 2018;29(1):159–180. </w:t>
      </w:r>
    </w:p>
    <w:p w14:paraId="6801119C" w14:textId="77777777" w:rsidR="00E85486" w:rsidRDefault="00E85486" w:rsidP="00E85486">
      <w:pPr>
        <w:pStyle w:val="BodyText"/>
        <w:ind w:left="560" w:hanging="560"/>
        <w:rPr>
          <w:rFonts w:asciiTheme="minorHAnsi" w:hAnsiTheme="minorHAnsi"/>
        </w:rPr>
      </w:pPr>
      <w:r>
        <w:rPr>
          <w:rFonts w:asciiTheme="minorHAnsi" w:hAnsiTheme="minorHAnsi"/>
        </w:rPr>
        <w:t xml:space="preserve">36. </w:t>
      </w:r>
      <w:r>
        <w:rPr>
          <w:rFonts w:asciiTheme="minorHAnsi" w:hAnsiTheme="minorHAnsi"/>
        </w:rPr>
        <w:tab/>
      </w:r>
      <w:proofErr w:type="spellStart"/>
      <w:r>
        <w:rPr>
          <w:rFonts w:asciiTheme="minorHAnsi" w:hAnsiTheme="minorHAnsi"/>
        </w:rPr>
        <w:t>Nejtek</w:t>
      </w:r>
      <w:proofErr w:type="spellEnd"/>
      <w:r>
        <w:rPr>
          <w:rFonts w:asciiTheme="minorHAnsi" w:hAnsiTheme="minorHAnsi"/>
        </w:rPr>
        <w:t xml:space="preserve"> VA, Aryal S, Talari D, Wang H, O’Neill L. A pilot mobile integrated healthcare program for frequent utilizers of emergency department services. Am J Emerg Med. 2017 Nov;35(11):1702–1705. </w:t>
      </w:r>
    </w:p>
    <w:p w14:paraId="7BFABF38" w14:textId="77777777" w:rsidR="00E85486" w:rsidRDefault="00E85486" w:rsidP="00E85486">
      <w:pPr>
        <w:pStyle w:val="BodyText"/>
        <w:ind w:left="560" w:hanging="560"/>
        <w:rPr>
          <w:rFonts w:asciiTheme="minorHAnsi" w:hAnsiTheme="minorHAnsi"/>
        </w:rPr>
      </w:pPr>
      <w:r>
        <w:rPr>
          <w:rFonts w:asciiTheme="minorHAnsi" w:hAnsiTheme="minorHAnsi"/>
        </w:rPr>
        <w:t xml:space="preserve">37. </w:t>
      </w:r>
      <w:r>
        <w:rPr>
          <w:rFonts w:asciiTheme="minorHAnsi" w:hAnsiTheme="minorHAnsi"/>
        </w:rPr>
        <w:tab/>
        <w:t xml:space="preserve">Misner D. Community paramedicine: part of an integrated healthcare system. Emerg Med Serv. 2005 Apr;34(4):89–90. </w:t>
      </w:r>
    </w:p>
    <w:p w14:paraId="17D2C9E6" w14:textId="77777777" w:rsidR="00E85486" w:rsidRDefault="00E85486" w:rsidP="00E85486">
      <w:pPr>
        <w:pStyle w:val="BodyText"/>
        <w:ind w:left="560" w:hanging="560"/>
        <w:rPr>
          <w:rFonts w:asciiTheme="minorHAnsi" w:hAnsiTheme="minorHAnsi"/>
        </w:rPr>
      </w:pPr>
      <w:r>
        <w:rPr>
          <w:rFonts w:asciiTheme="minorHAnsi" w:hAnsiTheme="minorHAnsi"/>
        </w:rPr>
        <w:t xml:space="preserve">38. </w:t>
      </w:r>
      <w:r>
        <w:rPr>
          <w:rFonts w:asciiTheme="minorHAnsi" w:hAnsiTheme="minorHAnsi"/>
        </w:rPr>
        <w:tab/>
        <w:t xml:space="preserve">O’Meara P, Stirling C, Ruest M, Martin A. Community paramedicine model of care: an observational, ethnographic case study. BMC Health Serv Res. 2016 Feb </w:t>
      </w:r>
      <w:proofErr w:type="gramStart"/>
      <w:r>
        <w:rPr>
          <w:rFonts w:asciiTheme="minorHAnsi" w:hAnsiTheme="minorHAnsi"/>
        </w:rPr>
        <w:t>2;16:39</w:t>
      </w:r>
      <w:proofErr w:type="gramEnd"/>
      <w:r>
        <w:rPr>
          <w:rFonts w:asciiTheme="minorHAnsi" w:hAnsiTheme="minorHAnsi"/>
        </w:rPr>
        <w:t xml:space="preserve">. </w:t>
      </w:r>
    </w:p>
    <w:p w14:paraId="49F820B8" w14:textId="77777777" w:rsidR="00E85486" w:rsidRDefault="00E85486" w:rsidP="00E85486">
      <w:pPr>
        <w:pStyle w:val="BodyText"/>
        <w:ind w:left="560" w:hanging="560"/>
        <w:rPr>
          <w:rFonts w:asciiTheme="minorHAnsi" w:hAnsiTheme="minorHAnsi"/>
        </w:rPr>
      </w:pPr>
      <w:r>
        <w:rPr>
          <w:rFonts w:asciiTheme="minorHAnsi" w:hAnsiTheme="minorHAnsi"/>
        </w:rPr>
        <w:t xml:space="preserve">39. </w:t>
      </w:r>
      <w:r>
        <w:rPr>
          <w:rFonts w:asciiTheme="minorHAnsi" w:hAnsiTheme="minorHAnsi"/>
        </w:rPr>
        <w:tab/>
        <w:t xml:space="preserve">O’Meara P. Community paramedics: a scoping review of their emergence and potential impact. Int Paramed </w:t>
      </w:r>
      <w:proofErr w:type="spellStart"/>
      <w:r>
        <w:rPr>
          <w:rFonts w:asciiTheme="minorHAnsi" w:hAnsiTheme="minorHAnsi"/>
        </w:rPr>
        <w:t>Pract</w:t>
      </w:r>
      <w:proofErr w:type="spellEnd"/>
      <w:r>
        <w:rPr>
          <w:rFonts w:asciiTheme="minorHAnsi" w:hAnsiTheme="minorHAnsi"/>
        </w:rPr>
        <w:t xml:space="preserve">. 2014 May 21;4(1):5–12. </w:t>
      </w:r>
    </w:p>
    <w:p w14:paraId="1BCE0D11" w14:textId="77777777" w:rsidR="00E85486" w:rsidRDefault="00E85486" w:rsidP="00E85486">
      <w:pPr>
        <w:pStyle w:val="BodyText"/>
        <w:ind w:left="560" w:hanging="560"/>
        <w:rPr>
          <w:rFonts w:asciiTheme="minorHAnsi" w:hAnsiTheme="minorHAnsi"/>
        </w:rPr>
      </w:pPr>
      <w:r>
        <w:rPr>
          <w:rFonts w:asciiTheme="minorHAnsi" w:hAnsiTheme="minorHAnsi"/>
        </w:rPr>
        <w:t xml:space="preserve">40. </w:t>
      </w:r>
      <w:r>
        <w:rPr>
          <w:rFonts w:asciiTheme="minorHAnsi" w:hAnsiTheme="minorHAnsi"/>
        </w:rPr>
        <w:tab/>
      </w:r>
      <w:proofErr w:type="spellStart"/>
      <w:r>
        <w:rPr>
          <w:rFonts w:asciiTheme="minorHAnsi" w:hAnsiTheme="minorHAnsi"/>
        </w:rPr>
        <w:t>Langabeer</w:t>
      </w:r>
      <w:proofErr w:type="spellEnd"/>
      <w:r>
        <w:rPr>
          <w:rFonts w:asciiTheme="minorHAnsi" w:hAnsiTheme="minorHAnsi"/>
        </w:rPr>
        <w:t xml:space="preserve"> JR, Champagne-</w:t>
      </w:r>
      <w:proofErr w:type="spellStart"/>
      <w:r>
        <w:rPr>
          <w:rFonts w:asciiTheme="minorHAnsi" w:hAnsiTheme="minorHAnsi"/>
        </w:rPr>
        <w:t>Langabeer</w:t>
      </w:r>
      <w:proofErr w:type="spellEnd"/>
      <w:r>
        <w:rPr>
          <w:rFonts w:asciiTheme="minorHAnsi" w:hAnsiTheme="minorHAnsi"/>
        </w:rPr>
        <w:t xml:space="preserve"> T, </w:t>
      </w:r>
      <w:proofErr w:type="spellStart"/>
      <w:r>
        <w:rPr>
          <w:rFonts w:asciiTheme="minorHAnsi" w:hAnsiTheme="minorHAnsi"/>
        </w:rPr>
        <w:t>Alqusairi</w:t>
      </w:r>
      <w:proofErr w:type="spellEnd"/>
      <w:r>
        <w:rPr>
          <w:rFonts w:asciiTheme="minorHAnsi" w:hAnsiTheme="minorHAnsi"/>
        </w:rPr>
        <w:t xml:space="preserve"> D, Kim J, Jackson A, Persse D, et al. Cost-benefit analysis of telehealth in pre-hospital care. J </w:t>
      </w:r>
      <w:proofErr w:type="spellStart"/>
      <w:r>
        <w:rPr>
          <w:rFonts w:asciiTheme="minorHAnsi" w:hAnsiTheme="minorHAnsi"/>
        </w:rPr>
        <w:t>Telemed</w:t>
      </w:r>
      <w:proofErr w:type="spellEnd"/>
      <w:r>
        <w:rPr>
          <w:rFonts w:asciiTheme="minorHAnsi" w:hAnsiTheme="minorHAnsi"/>
        </w:rPr>
        <w:t xml:space="preserve"> Telecare. 2017 Sep;23(8):747–751. </w:t>
      </w:r>
    </w:p>
    <w:p w14:paraId="5F2519E4" w14:textId="77777777" w:rsidR="00E85486" w:rsidRDefault="00E85486" w:rsidP="00E85486">
      <w:pPr>
        <w:pStyle w:val="BodyText"/>
        <w:ind w:left="560" w:hanging="560"/>
        <w:rPr>
          <w:rFonts w:asciiTheme="minorHAnsi" w:hAnsiTheme="minorHAnsi"/>
        </w:rPr>
      </w:pPr>
      <w:r>
        <w:rPr>
          <w:rFonts w:asciiTheme="minorHAnsi" w:hAnsiTheme="minorHAnsi"/>
        </w:rPr>
        <w:t xml:space="preserve">41. </w:t>
      </w:r>
      <w:r>
        <w:rPr>
          <w:rFonts w:asciiTheme="minorHAnsi" w:hAnsiTheme="minorHAnsi"/>
        </w:rPr>
        <w:tab/>
        <w:t xml:space="preserve">Barnes AJ, Cunningham PJ, Saxe-Walker L, Britton E, Sheng Y, Boynton M, et al. Hospital use declines after implementation of </w:t>
      </w:r>
      <w:proofErr w:type="spellStart"/>
      <w:r>
        <w:rPr>
          <w:rFonts w:asciiTheme="minorHAnsi" w:hAnsiTheme="minorHAnsi"/>
        </w:rPr>
        <w:t>virginia</w:t>
      </w:r>
      <w:proofErr w:type="spellEnd"/>
      <w:r>
        <w:rPr>
          <w:rFonts w:asciiTheme="minorHAnsi" w:hAnsiTheme="minorHAnsi"/>
        </w:rPr>
        <w:t xml:space="preserve"> </w:t>
      </w:r>
      <w:proofErr w:type="spellStart"/>
      <w:r>
        <w:rPr>
          <w:rFonts w:asciiTheme="minorHAnsi" w:hAnsiTheme="minorHAnsi"/>
        </w:rPr>
        <w:t>medicaid’s</w:t>
      </w:r>
      <w:proofErr w:type="spellEnd"/>
      <w:r>
        <w:rPr>
          <w:rFonts w:asciiTheme="minorHAnsi" w:hAnsiTheme="minorHAnsi"/>
        </w:rPr>
        <w:t xml:space="preserve"> addiction and recovery treatment services. Health </w:t>
      </w:r>
      <w:proofErr w:type="spellStart"/>
      <w:r>
        <w:rPr>
          <w:rFonts w:asciiTheme="minorHAnsi" w:hAnsiTheme="minorHAnsi"/>
        </w:rPr>
        <w:t>Aff</w:t>
      </w:r>
      <w:proofErr w:type="spellEnd"/>
      <w:r>
        <w:rPr>
          <w:rFonts w:asciiTheme="minorHAnsi" w:hAnsiTheme="minorHAnsi"/>
        </w:rPr>
        <w:t xml:space="preserve"> (Millwood). 2020 Feb;39(2):238–246. </w:t>
      </w:r>
    </w:p>
    <w:p w14:paraId="38CC743A"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42. </w:t>
      </w:r>
      <w:r>
        <w:rPr>
          <w:rFonts w:asciiTheme="minorHAnsi" w:hAnsiTheme="minorHAnsi"/>
        </w:rPr>
        <w:tab/>
        <w:t xml:space="preserve">Cunningham A, Mautner D, Ku B, Scott K, LaNoue M. Frequent emergency department visitors are frequent primary care visitors and report unmet primary care needs. J Eval Clin </w:t>
      </w:r>
      <w:proofErr w:type="spellStart"/>
      <w:r>
        <w:rPr>
          <w:rFonts w:asciiTheme="minorHAnsi" w:hAnsiTheme="minorHAnsi"/>
        </w:rPr>
        <w:t>Pract</w:t>
      </w:r>
      <w:proofErr w:type="spellEnd"/>
      <w:r>
        <w:rPr>
          <w:rFonts w:asciiTheme="minorHAnsi" w:hAnsiTheme="minorHAnsi"/>
        </w:rPr>
        <w:t xml:space="preserve">. 2017 Jun;23(3):567–573. </w:t>
      </w:r>
    </w:p>
    <w:p w14:paraId="3A95D339" w14:textId="77777777" w:rsidR="00E85486" w:rsidRDefault="00E85486" w:rsidP="00E85486">
      <w:pPr>
        <w:pStyle w:val="BodyText"/>
        <w:ind w:left="560" w:hanging="560"/>
        <w:rPr>
          <w:rFonts w:asciiTheme="minorHAnsi" w:hAnsiTheme="minorHAnsi"/>
        </w:rPr>
      </w:pPr>
      <w:r>
        <w:rPr>
          <w:rFonts w:asciiTheme="minorHAnsi" w:hAnsiTheme="minorHAnsi"/>
        </w:rPr>
        <w:t xml:space="preserve">43. </w:t>
      </w:r>
      <w:r>
        <w:rPr>
          <w:rFonts w:asciiTheme="minorHAnsi" w:hAnsiTheme="minorHAnsi"/>
        </w:rPr>
        <w:tab/>
      </w:r>
      <w:proofErr w:type="spellStart"/>
      <w:r>
        <w:rPr>
          <w:rFonts w:asciiTheme="minorHAnsi" w:hAnsiTheme="minorHAnsi"/>
        </w:rPr>
        <w:t>Langabeer</w:t>
      </w:r>
      <w:proofErr w:type="spellEnd"/>
      <w:r>
        <w:rPr>
          <w:rFonts w:asciiTheme="minorHAnsi" w:hAnsiTheme="minorHAnsi"/>
        </w:rPr>
        <w:t xml:space="preserve"> JR, Gonzalez M, </w:t>
      </w:r>
      <w:proofErr w:type="spellStart"/>
      <w:r>
        <w:rPr>
          <w:rFonts w:asciiTheme="minorHAnsi" w:hAnsiTheme="minorHAnsi"/>
        </w:rPr>
        <w:t>Alqusairi</w:t>
      </w:r>
      <w:proofErr w:type="spellEnd"/>
      <w:r>
        <w:rPr>
          <w:rFonts w:asciiTheme="minorHAnsi" w:hAnsiTheme="minorHAnsi"/>
        </w:rPr>
        <w:t xml:space="preserve"> D, Champagne-</w:t>
      </w:r>
      <w:proofErr w:type="spellStart"/>
      <w:r>
        <w:rPr>
          <w:rFonts w:asciiTheme="minorHAnsi" w:hAnsiTheme="minorHAnsi"/>
        </w:rPr>
        <w:t>Langabeer</w:t>
      </w:r>
      <w:proofErr w:type="spellEnd"/>
      <w:r>
        <w:rPr>
          <w:rFonts w:asciiTheme="minorHAnsi" w:hAnsiTheme="minorHAnsi"/>
        </w:rPr>
        <w:t xml:space="preserve"> T, Jackson A, Mikhail J, et al. Telehealth-Enabled Emergency Medical Services Program Reduces Ambulance Transport to Urban Emergency Departments. West J Emerg Med. 2016 Nov;17(6):713–720. </w:t>
      </w:r>
    </w:p>
    <w:p w14:paraId="26AA7CBC" w14:textId="77777777" w:rsidR="00E85486" w:rsidRDefault="00E85486" w:rsidP="00E85486">
      <w:pPr>
        <w:pStyle w:val="BodyText"/>
        <w:ind w:left="560" w:hanging="560"/>
        <w:rPr>
          <w:rFonts w:asciiTheme="minorHAnsi" w:hAnsiTheme="minorHAnsi"/>
        </w:rPr>
      </w:pPr>
      <w:r>
        <w:rPr>
          <w:rFonts w:asciiTheme="minorHAnsi" w:hAnsiTheme="minorHAnsi"/>
        </w:rPr>
        <w:t xml:space="preserve">44. </w:t>
      </w:r>
      <w:r>
        <w:rPr>
          <w:rFonts w:asciiTheme="minorHAnsi" w:hAnsiTheme="minorHAnsi"/>
        </w:rPr>
        <w:tab/>
        <w:t xml:space="preserve">Chellappa DK, </w:t>
      </w:r>
      <w:proofErr w:type="spellStart"/>
      <w:r>
        <w:rPr>
          <w:rFonts w:asciiTheme="minorHAnsi" w:hAnsiTheme="minorHAnsi"/>
        </w:rPr>
        <w:t>DeCherrie</w:t>
      </w:r>
      <w:proofErr w:type="spellEnd"/>
      <w:r>
        <w:rPr>
          <w:rFonts w:asciiTheme="minorHAnsi" w:hAnsiTheme="minorHAnsi"/>
        </w:rPr>
        <w:t xml:space="preserve"> LV, Escobar C, Gregoriou D, Munjal KG. Supporting the on-call primary care physician with community paramedicine. Intern Med J. 2018 Oct;48(10):1261–1264. </w:t>
      </w:r>
    </w:p>
    <w:p w14:paraId="491A2A5E" w14:textId="77777777" w:rsidR="00E85486" w:rsidRDefault="00E85486" w:rsidP="00E85486">
      <w:pPr>
        <w:pStyle w:val="BodyText"/>
        <w:ind w:left="560" w:hanging="560"/>
        <w:rPr>
          <w:rFonts w:asciiTheme="minorHAnsi" w:hAnsiTheme="minorHAnsi"/>
        </w:rPr>
      </w:pPr>
      <w:r>
        <w:rPr>
          <w:rFonts w:asciiTheme="minorHAnsi" w:hAnsiTheme="minorHAnsi"/>
        </w:rPr>
        <w:t xml:space="preserve">45. </w:t>
      </w:r>
      <w:r>
        <w:rPr>
          <w:rFonts w:asciiTheme="minorHAnsi" w:hAnsiTheme="minorHAnsi"/>
        </w:rPr>
        <w:tab/>
        <w:t xml:space="preserve">Bennett KJ, Yuen MW, Merrell MA. Community paramedicine applied in a rural community. J Rural Health. 2018;34 Suppl </w:t>
      </w:r>
      <w:proofErr w:type="gramStart"/>
      <w:r>
        <w:rPr>
          <w:rFonts w:asciiTheme="minorHAnsi" w:hAnsiTheme="minorHAnsi"/>
        </w:rPr>
        <w:t>1:s</w:t>
      </w:r>
      <w:proofErr w:type="gramEnd"/>
      <w:r>
        <w:rPr>
          <w:rFonts w:asciiTheme="minorHAnsi" w:hAnsiTheme="minorHAnsi"/>
        </w:rPr>
        <w:t xml:space="preserve">39–s47. </w:t>
      </w:r>
    </w:p>
    <w:p w14:paraId="7F1C92ED" w14:textId="77777777" w:rsidR="00E85486" w:rsidRDefault="00E85486" w:rsidP="00E85486">
      <w:pPr>
        <w:pStyle w:val="BodyText"/>
        <w:ind w:left="560" w:hanging="560"/>
        <w:rPr>
          <w:rFonts w:asciiTheme="minorHAnsi" w:hAnsiTheme="minorHAnsi"/>
        </w:rPr>
      </w:pPr>
      <w:r>
        <w:rPr>
          <w:rFonts w:asciiTheme="minorHAnsi" w:hAnsiTheme="minorHAnsi"/>
        </w:rPr>
        <w:t xml:space="preserve">46. </w:t>
      </w:r>
      <w:r>
        <w:rPr>
          <w:rFonts w:asciiTheme="minorHAnsi" w:hAnsiTheme="minorHAnsi"/>
        </w:rPr>
        <w:tab/>
        <w:t xml:space="preserve">Mason S, Knowles E, Colwell B, Dixon S, Wardrope J, Gorringe R, et al. Effectiveness of paramedic practitioners in attending 999 calls from elderly people in the community: cluster </w:t>
      </w:r>
      <w:proofErr w:type="spellStart"/>
      <w:r>
        <w:rPr>
          <w:rFonts w:asciiTheme="minorHAnsi" w:hAnsiTheme="minorHAnsi"/>
        </w:rPr>
        <w:t>randomised</w:t>
      </w:r>
      <w:proofErr w:type="spellEnd"/>
      <w:r>
        <w:rPr>
          <w:rFonts w:asciiTheme="minorHAnsi" w:hAnsiTheme="minorHAnsi"/>
        </w:rPr>
        <w:t xml:space="preserve"> controlled trial. BMJ. 2007 Nov 3;335(7626):919. </w:t>
      </w:r>
    </w:p>
    <w:p w14:paraId="11E67C0A" w14:textId="0BD82BFF" w:rsidR="000D0523" w:rsidRPr="008E1307" w:rsidRDefault="00D605D1" w:rsidP="00E85486">
      <w:pPr>
        <w:pStyle w:val="BodyText"/>
        <w:ind w:left="560" w:hanging="560"/>
        <w:rPr>
          <w:rFonts w:asciiTheme="minorHAnsi" w:hAnsiTheme="minorHAnsi"/>
        </w:rPr>
      </w:pPr>
      <w:r>
        <w:rPr>
          <w:rFonts w:asciiTheme="minorHAnsi" w:hAnsiTheme="minorHAnsi"/>
        </w:rPr>
        <w:fldChar w:fldCharType="end"/>
      </w:r>
    </w:p>
    <w:sectPr w:rsidR="000D0523" w:rsidRPr="008E1307" w:rsidSect="004F3D2E">
      <w:footerReference w:type="default" r:id="rId14"/>
      <w:pgSz w:w="12240" w:h="15840"/>
      <w:pgMar w:top="99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DD74" w14:textId="77777777" w:rsidR="00987EB3" w:rsidRDefault="00987EB3">
      <w:pPr>
        <w:spacing w:after="0"/>
      </w:pPr>
      <w:r>
        <w:separator/>
      </w:r>
    </w:p>
  </w:endnote>
  <w:endnote w:type="continuationSeparator" w:id="0">
    <w:p w14:paraId="14824612" w14:textId="77777777" w:rsidR="00987EB3" w:rsidRDefault="00987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258F" w14:textId="05D906F2" w:rsidR="005C6E67" w:rsidRPr="005C6E67" w:rsidRDefault="005C6E67" w:rsidP="005C6E67">
    <w:pPr>
      <w:pStyle w:val="FootnoteText"/>
    </w:pPr>
  </w:p>
  <w:p w14:paraId="4F1F6C0E" w14:textId="77777777" w:rsidR="005C6E67" w:rsidRDefault="005C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B29C" w14:textId="77777777" w:rsidR="00987EB3" w:rsidRDefault="00987EB3">
      <w:r>
        <w:separator/>
      </w:r>
    </w:p>
  </w:footnote>
  <w:footnote w:type="continuationSeparator" w:id="0">
    <w:p w14:paraId="0236D886" w14:textId="77777777" w:rsidR="00987EB3" w:rsidRDefault="00987EB3">
      <w:r>
        <w:continuationSeparator/>
      </w:r>
    </w:p>
  </w:footnote>
  <w:footnote w:id="1">
    <w:p w14:paraId="1E90929C" w14:textId="033E7B83" w:rsidR="005C6E67" w:rsidRDefault="005C6E67" w:rsidP="005C6E67">
      <w:pPr>
        <w:pStyle w:val="FootnoteText"/>
      </w:pPr>
      <w:r>
        <w:rPr>
          <w:rStyle w:val="FootnoteReference"/>
        </w:rPr>
        <w:footnoteRef/>
      </w:r>
      <w:r>
        <w:t xml:space="preserve"> </w:t>
      </w:r>
      <w:r w:rsidRPr="005C6E67">
        <w:t xml:space="preserve">These statements reflect in general assumptions for OLS regression </w:t>
      </w:r>
      <w:proofErr w:type="gramStart"/>
      <w:r w:rsidRPr="005C6E67">
        <w:t>in order to</w:t>
      </w:r>
      <w:proofErr w:type="gramEnd"/>
      <w:r w:rsidRPr="005C6E67">
        <w:t xml:space="preserve"> obtain the best linear unbiased estimators (BLUE) but are not directly quoting the origi</w:t>
      </w:r>
      <w:r w:rsidR="00021D91">
        <w:t>na</w:t>
      </w:r>
      <w:r w:rsidRPr="005C6E67">
        <w:t>l theorem or derivative quotations or explanations of OLS assumptions.</w:t>
      </w:r>
    </w:p>
  </w:footnote>
  <w:footnote w:id="2">
    <w:p w14:paraId="7ADE7656" w14:textId="0F15080A" w:rsidR="00021D91" w:rsidRDefault="00021D91">
      <w:pPr>
        <w:pStyle w:val="FootnoteText"/>
      </w:pPr>
      <w:r>
        <w:rPr>
          <w:rStyle w:val="FootnoteReference"/>
        </w:rPr>
        <w:footnoteRef/>
      </w:r>
      <w:r>
        <w:t xml:space="preserve"> Since this is an exercise, the sample is assumed to be random or reasonably reflective of the population. However, in a true scenario, the sampling strategy would need to be evaluated for systematic error. </w:t>
      </w:r>
    </w:p>
  </w:footnote>
  <w:footnote w:id="3">
    <w:p w14:paraId="3B04165A" w14:textId="278DC9DB" w:rsidR="00240D4A" w:rsidRDefault="00240D4A">
      <w:pPr>
        <w:pStyle w:val="FootnoteText"/>
      </w:pPr>
      <w:r>
        <w:rPr>
          <w:rStyle w:val="FootnoteReference"/>
        </w:rPr>
        <w:footnoteRef/>
      </w:r>
      <w:r>
        <w:t xml:space="preserve"> “Very Low” was used as the reference group due to the expected effect of increased severity on overall cost based on the theoretical model.</w:t>
      </w:r>
    </w:p>
  </w:footnote>
  <w:footnote w:id="4">
    <w:p w14:paraId="72BAD9E5" w14:textId="56111A56" w:rsidR="00462331" w:rsidRDefault="00462331">
      <w:pPr>
        <w:pStyle w:val="FootnoteText"/>
      </w:pPr>
      <w:r>
        <w:rPr>
          <w:rStyle w:val="FootnoteReference"/>
        </w:rPr>
        <w:footnoteRef/>
      </w:r>
      <w:r>
        <w:t xml:space="preserve"> </w:t>
      </w:r>
      <w:r w:rsidR="009E23B0">
        <w:t>While the two predictor variables are measured in different ways and are technically independent of each other</w:t>
      </w:r>
      <w:r w:rsidR="003207E4">
        <w:t xml:space="preserve">, </w:t>
      </w:r>
      <w:r w:rsidR="00793107">
        <w:t xml:space="preserve">patients that </w:t>
      </w:r>
      <w:r w:rsidR="00C64947">
        <w:t>are more likely to have</w:t>
      </w:r>
      <w:r w:rsidR="00793107">
        <w:t xml:space="preserve"> high severity visits</w:t>
      </w:r>
      <w:r w:rsidR="00DA4B1C">
        <w:t xml:space="preserve"> may also </w:t>
      </w:r>
      <w:r w:rsidR="00C64947">
        <w:t>be more likely to have more frequent visits.</w:t>
      </w:r>
    </w:p>
  </w:footnote>
  <w:footnote w:id="5">
    <w:p w14:paraId="5E1CCEC9" w14:textId="77777777" w:rsidR="005061FE" w:rsidRDefault="005061FE" w:rsidP="005061FE">
      <w:pPr>
        <w:pStyle w:val="FootnoteText"/>
      </w:pPr>
      <w:r>
        <w:rPr>
          <w:rStyle w:val="FootnoteReference"/>
        </w:rPr>
        <w:footnoteRef/>
      </w:r>
      <w:r>
        <w:t xml:space="preserve"> These are very untechnical interpretations of these two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DA43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480000"/>
    <w:multiLevelType w:val="hybridMultilevel"/>
    <w:tmpl w:val="3C80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D33CF"/>
    <w:multiLevelType w:val="hybridMultilevel"/>
    <w:tmpl w:val="7A5238A6"/>
    <w:lvl w:ilvl="0" w:tplc="C1EE5C9E">
      <w:numFmt w:val="bullet"/>
      <w:lvlText w:val="-"/>
      <w:lvlJc w:val="left"/>
      <w:pPr>
        <w:ind w:left="720" w:hanging="360"/>
      </w:pPr>
      <w:rPr>
        <w:rFonts w:ascii="Cambria" w:eastAsia="Cambria"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87358"/>
    <w:multiLevelType w:val="hybridMultilevel"/>
    <w:tmpl w:val="E0000462"/>
    <w:lvl w:ilvl="0" w:tplc="C8C00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5138AD"/>
    <w:multiLevelType w:val="hybridMultilevel"/>
    <w:tmpl w:val="CC64C526"/>
    <w:lvl w:ilvl="0" w:tplc="E6562ECC">
      <w:numFmt w:val="bullet"/>
      <w:lvlText w:val="-"/>
      <w:lvlJc w:val="left"/>
      <w:pPr>
        <w:ind w:left="1080" w:hanging="360"/>
      </w:pPr>
      <w:rPr>
        <w:rFonts w:ascii="Cambria" w:eastAsia="Cambria"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43046E"/>
    <w:multiLevelType w:val="hybridMultilevel"/>
    <w:tmpl w:val="CF629220"/>
    <w:lvl w:ilvl="0" w:tplc="18CE016C">
      <w:start w:val="1"/>
      <w:numFmt w:val="decimal"/>
      <w:pStyle w:val="BlockText"/>
      <w:lvlText w:val="Asssumption %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D2E4B38"/>
    <w:multiLevelType w:val="hybridMultilevel"/>
    <w:tmpl w:val="7510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F9"/>
    <w:rsid w:val="00010476"/>
    <w:rsid w:val="000176CB"/>
    <w:rsid w:val="0002019A"/>
    <w:rsid w:val="00021D91"/>
    <w:rsid w:val="00040409"/>
    <w:rsid w:val="0004090D"/>
    <w:rsid w:val="00042354"/>
    <w:rsid w:val="00043A74"/>
    <w:rsid w:val="00051EC8"/>
    <w:rsid w:val="00060DF9"/>
    <w:rsid w:val="00065BF9"/>
    <w:rsid w:val="00090B7E"/>
    <w:rsid w:val="0009320F"/>
    <w:rsid w:val="00095204"/>
    <w:rsid w:val="000B58F5"/>
    <w:rsid w:val="000C2E37"/>
    <w:rsid w:val="000D0523"/>
    <w:rsid w:val="000D121A"/>
    <w:rsid w:val="000D51E7"/>
    <w:rsid w:val="00107644"/>
    <w:rsid w:val="00113D06"/>
    <w:rsid w:val="00117AF3"/>
    <w:rsid w:val="00130B01"/>
    <w:rsid w:val="00141454"/>
    <w:rsid w:val="0014365E"/>
    <w:rsid w:val="00151F11"/>
    <w:rsid w:val="001536B2"/>
    <w:rsid w:val="00154424"/>
    <w:rsid w:val="001566CD"/>
    <w:rsid w:val="001572E2"/>
    <w:rsid w:val="00157990"/>
    <w:rsid w:val="00162511"/>
    <w:rsid w:val="001640F6"/>
    <w:rsid w:val="00166480"/>
    <w:rsid w:val="001763D7"/>
    <w:rsid w:val="0017650A"/>
    <w:rsid w:val="00184F86"/>
    <w:rsid w:val="001945C0"/>
    <w:rsid w:val="001A2782"/>
    <w:rsid w:val="001A4CCD"/>
    <w:rsid w:val="001A4FD3"/>
    <w:rsid w:val="001B2E69"/>
    <w:rsid w:val="001C0682"/>
    <w:rsid w:val="001C303C"/>
    <w:rsid w:val="001C40E0"/>
    <w:rsid w:val="001D1335"/>
    <w:rsid w:val="001D15B7"/>
    <w:rsid w:val="001E0521"/>
    <w:rsid w:val="001E4BE9"/>
    <w:rsid w:val="001E6737"/>
    <w:rsid w:val="00223D7D"/>
    <w:rsid w:val="00226933"/>
    <w:rsid w:val="00240D4A"/>
    <w:rsid w:val="00263D70"/>
    <w:rsid w:val="00277D3C"/>
    <w:rsid w:val="002A1352"/>
    <w:rsid w:val="002B1874"/>
    <w:rsid w:val="002B5F58"/>
    <w:rsid w:val="002B77C2"/>
    <w:rsid w:val="002C49C3"/>
    <w:rsid w:val="002D1C70"/>
    <w:rsid w:val="002F273B"/>
    <w:rsid w:val="002F31E6"/>
    <w:rsid w:val="00314521"/>
    <w:rsid w:val="00317B4A"/>
    <w:rsid w:val="003207E4"/>
    <w:rsid w:val="00321B87"/>
    <w:rsid w:val="00345D51"/>
    <w:rsid w:val="0036681F"/>
    <w:rsid w:val="00371BE9"/>
    <w:rsid w:val="00371D10"/>
    <w:rsid w:val="00373596"/>
    <w:rsid w:val="003753C6"/>
    <w:rsid w:val="00377242"/>
    <w:rsid w:val="00383F51"/>
    <w:rsid w:val="00387690"/>
    <w:rsid w:val="00393DC6"/>
    <w:rsid w:val="003A0B68"/>
    <w:rsid w:val="003A576E"/>
    <w:rsid w:val="003B657A"/>
    <w:rsid w:val="003B7632"/>
    <w:rsid w:val="003D14C2"/>
    <w:rsid w:val="003D6966"/>
    <w:rsid w:val="003E3CE4"/>
    <w:rsid w:val="003E6A73"/>
    <w:rsid w:val="003F0DCF"/>
    <w:rsid w:val="003F2844"/>
    <w:rsid w:val="003F733D"/>
    <w:rsid w:val="0040219A"/>
    <w:rsid w:val="00413338"/>
    <w:rsid w:val="0041621A"/>
    <w:rsid w:val="00416E67"/>
    <w:rsid w:val="0042268E"/>
    <w:rsid w:val="00423BBD"/>
    <w:rsid w:val="00436E7C"/>
    <w:rsid w:val="0044387C"/>
    <w:rsid w:val="00444CB1"/>
    <w:rsid w:val="00451D22"/>
    <w:rsid w:val="00462331"/>
    <w:rsid w:val="00473FFE"/>
    <w:rsid w:val="00481C62"/>
    <w:rsid w:val="0048342C"/>
    <w:rsid w:val="00486924"/>
    <w:rsid w:val="00487A4F"/>
    <w:rsid w:val="004975A1"/>
    <w:rsid w:val="004A1E63"/>
    <w:rsid w:val="004A2F84"/>
    <w:rsid w:val="004A571F"/>
    <w:rsid w:val="004A6746"/>
    <w:rsid w:val="004B2B93"/>
    <w:rsid w:val="004C5936"/>
    <w:rsid w:val="004C61C7"/>
    <w:rsid w:val="004C67A8"/>
    <w:rsid w:val="004D0C7E"/>
    <w:rsid w:val="004D5777"/>
    <w:rsid w:val="004D615B"/>
    <w:rsid w:val="004F3D2E"/>
    <w:rsid w:val="00501F70"/>
    <w:rsid w:val="005061FE"/>
    <w:rsid w:val="00517E18"/>
    <w:rsid w:val="005265C1"/>
    <w:rsid w:val="00553FFF"/>
    <w:rsid w:val="00581745"/>
    <w:rsid w:val="0058357A"/>
    <w:rsid w:val="0059061B"/>
    <w:rsid w:val="005A3B4A"/>
    <w:rsid w:val="005C6E67"/>
    <w:rsid w:val="005C7110"/>
    <w:rsid w:val="005C7D4C"/>
    <w:rsid w:val="005D1AD2"/>
    <w:rsid w:val="005E046D"/>
    <w:rsid w:val="005E267D"/>
    <w:rsid w:val="005F4601"/>
    <w:rsid w:val="006051C2"/>
    <w:rsid w:val="00606369"/>
    <w:rsid w:val="00623A43"/>
    <w:rsid w:val="0064039E"/>
    <w:rsid w:val="00647C8B"/>
    <w:rsid w:val="00655B29"/>
    <w:rsid w:val="006561DC"/>
    <w:rsid w:val="00663463"/>
    <w:rsid w:val="00686EF1"/>
    <w:rsid w:val="00692B46"/>
    <w:rsid w:val="006C1DA8"/>
    <w:rsid w:val="006D105B"/>
    <w:rsid w:val="006D1943"/>
    <w:rsid w:val="006D48DC"/>
    <w:rsid w:val="006E3F91"/>
    <w:rsid w:val="006E4E53"/>
    <w:rsid w:val="006F7A7E"/>
    <w:rsid w:val="00711D57"/>
    <w:rsid w:val="00717B25"/>
    <w:rsid w:val="00730C99"/>
    <w:rsid w:val="00731BFE"/>
    <w:rsid w:val="0074000B"/>
    <w:rsid w:val="0076197A"/>
    <w:rsid w:val="00766667"/>
    <w:rsid w:val="00774C9F"/>
    <w:rsid w:val="0078684D"/>
    <w:rsid w:val="0078703E"/>
    <w:rsid w:val="00793107"/>
    <w:rsid w:val="007949EF"/>
    <w:rsid w:val="007954AD"/>
    <w:rsid w:val="007959C9"/>
    <w:rsid w:val="00796BE3"/>
    <w:rsid w:val="007A5C62"/>
    <w:rsid w:val="007B1719"/>
    <w:rsid w:val="007B62ED"/>
    <w:rsid w:val="007C610C"/>
    <w:rsid w:val="007D5F09"/>
    <w:rsid w:val="007E6E1E"/>
    <w:rsid w:val="00813906"/>
    <w:rsid w:val="00841A98"/>
    <w:rsid w:val="00843A3D"/>
    <w:rsid w:val="008458B2"/>
    <w:rsid w:val="008469E0"/>
    <w:rsid w:val="00847A4A"/>
    <w:rsid w:val="00851693"/>
    <w:rsid w:val="00866B82"/>
    <w:rsid w:val="00867C43"/>
    <w:rsid w:val="00871BCF"/>
    <w:rsid w:val="0088106C"/>
    <w:rsid w:val="00884CB2"/>
    <w:rsid w:val="00884EF7"/>
    <w:rsid w:val="008924EB"/>
    <w:rsid w:val="008C3930"/>
    <w:rsid w:val="008C49A2"/>
    <w:rsid w:val="008C65E3"/>
    <w:rsid w:val="008D7C50"/>
    <w:rsid w:val="008E1307"/>
    <w:rsid w:val="008F2BD4"/>
    <w:rsid w:val="009045F2"/>
    <w:rsid w:val="00916013"/>
    <w:rsid w:val="00922C47"/>
    <w:rsid w:val="00944822"/>
    <w:rsid w:val="009449F8"/>
    <w:rsid w:val="00952D4E"/>
    <w:rsid w:val="0095568C"/>
    <w:rsid w:val="00957A5A"/>
    <w:rsid w:val="009726DE"/>
    <w:rsid w:val="009752F5"/>
    <w:rsid w:val="00987EB3"/>
    <w:rsid w:val="009906F2"/>
    <w:rsid w:val="009A7E95"/>
    <w:rsid w:val="009C34B8"/>
    <w:rsid w:val="009C5D85"/>
    <w:rsid w:val="009D15E7"/>
    <w:rsid w:val="009D22E6"/>
    <w:rsid w:val="009D27A3"/>
    <w:rsid w:val="009E23B0"/>
    <w:rsid w:val="009F085F"/>
    <w:rsid w:val="009F45C8"/>
    <w:rsid w:val="00A030AF"/>
    <w:rsid w:val="00A1130D"/>
    <w:rsid w:val="00A17EB8"/>
    <w:rsid w:val="00A206CD"/>
    <w:rsid w:val="00A20F94"/>
    <w:rsid w:val="00A21ED1"/>
    <w:rsid w:val="00A2436E"/>
    <w:rsid w:val="00A32A95"/>
    <w:rsid w:val="00A342A1"/>
    <w:rsid w:val="00A40FBB"/>
    <w:rsid w:val="00A44DC5"/>
    <w:rsid w:val="00A607EA"/>
    <w:rsid w:val="00A62575"/>
    <w:rsid w:val="00A86167"/>
    <w:rsid w:val="00A91DCD"/>
    <w:rsid w:val="00AB0FCE"/>
    <w:rsid w:val="00AB352A"/>
    <w:rsid w:val="00AC7420"/>
    <w:rsid w:val="00AC7C89"/>
    <w:rsid w:val="00AE093F"/>
    <w:rsid w:val="00AE172C"/>
    <w:rsid w:val="00AE1865"/>
    <w:rsid w:val="00AE3E3D"/>
    <w:rsid w:val="00B04F0C"/>
    <w:rsid w:val="00B1702F"/>
    <w:rsid w:val="00B220E5"/>
    <w:rsid w:val="00B46204"/>
    <w:rsid w:val="00B55A4C"/>
    <w:rsid w:val="00B64085"/>
    <w:rsid w:val="00B75ABC"/>
    <w:rsid w:val="00B768AD"/>
    <w:rsid w:val="00B82A5E"/>
    <w:rsid w:val="00B831E8"/>
    <w:rsid w:val="00B92908"/>
    <w:rsid w:val="00BA38E3"/>
    <w:rsid w:val="00BA6AA0"/>
    <w:rsid w:val="00BC3BB9"/>
    <w:rsid w:val="00BC3C94"/>
    <w:rsid w:val="00BD1D7B"/>
    <w:rsid w:val="00BF229C"/>
    <w:rsid w:val="00C04F54"/>
    <w:rsid w:val="00C053AC"/>
    <w:rsid w:val="00C076ED"/>
    <w:rsid w:val="00C155DE"/>
    <w:rsid w:val="00C346EE"/>
    <w:rsid w:val="00C36A6F"/>
    <w:rsid w:val="00C53798"/>
    <w:rsid w:val="00C56DE0"/>
    <w:rsid w:val="00C63804"/>
    <w:rsid w:val="00C64947"/>
    <w:rsid w:val="00C66F83"/>
    <w:rsid w:val="00C72EEE"/>
    <w:rsid w:val="00C75896"/>
    <w:rsid w:val="00C812D0"/>
    <w:rsid w:val="00C81994"/>
    <w:rsid w:val="00C81E7F"/>
    <w:rsid w:val="00C959F9"/>
    <w:rsid w:val="00CA6893"/>
    <w:rsid w:val="00CA7149"/>
    <w:rsid w:val="00CA78FE"/>
    <w:rsid w:val="00CB1A1E"/>
    <w:rsid w:val="00CB4903"/>
    <w:rsid w:val="00CC0B3D"/>
    <w:rsid w:val="00CD19A8"/>
    <w:rsid w:val="00CD3BB0"/>
    <w:rsid w:val="00CD546E"/>
    <w:rsid w:val="00CE0338"/>
    <w:rsid w:val="00CE3371"/>
    <w:rsid w:val="00CE75A8"/>
    <w:rsid w:val="00CF536E"/>
    <w:rsid w:val="00CF6B46"/>
    <w:rsid w:val="00CF6D81"/>
    <w:rsid w:val="00D00E1A"/>
    <w:rsid w:val="00D14A51"/>
    <w:rsid w:val="00D20C47"/>
    <w:rsid w:val="00D22A04"/>
    <w:rsid w:val="00D23CE6"/>
    <w:rsid w:val="00D349A2"/>
    <w:rsid w:val="00D34F8B"/>
    <w:rsid w:val="00D367AD"/>
    <w:rsid w:val="00D36808"/>
    <w:rsid w:val="00D402A2"/>
    <w:rsid w:val="00D47828"/>
    <w:rsid w:val="00D605D1"/>
    <w:rsid w:val="00D7200C"/>
    <w:rsid w:val="00D83999"/>
    <w:rsid w:val="00D84AC5"/>
    <w:rsid w:val="00D84AF7"/>
    <w:rsid w:val="00D934D0"/>
    <w:rsid w:val="00D97459"/>
    <w:rsid w:val="00DA4B1C"/>
    <w:rsid w:val="00DA663B"/>
    <w:rsid w:val="00DD3DE3"/>
    <w:rsid w:val="00DD69E6"/>
    <w:rsid w:val="00DE0F27"/>
    <w:rsid w:val="00DE12E2"/>
    <w:rsid w:val="00DE5D9F"/>
    <w:rsid w:val="00DF0F95"/>
    <w:rsid w:val="00E14812"/>
    <w:rsid w:val="00E21D51"/>
    <w:rsid w:val="00E43EBB"/>
    <w:rsid w:val="00E47B50"/>
    <w:rsid w:val="00E556B0"/>
    <w:rsid w:val="00E80DC3"/>
    <w:rsid w:val="00E847A8"/>
    <w:rsid w:val="00E85486"/>
    <w:rsid w:val="00E94D83"/>
    <w:rsid w:val="00EA5DF0"/>
    <w:rsid w:val="00EC220E"/>
    <w:rsid w:val="00EF755D"/>
    <w:rsid w:val="00F02780"/>
    <w:rsid w:val="00F042A1"/>
    <w:rsid w:val="00F1531D"/>
    <w:rsid w:val="00F23F00"/>
    <w:rsid w:val="00F242B5"/>
    <w:rsid w:val="00F24FDD"/>
    <w:rsid w:val="00F30DE9"/>
    <w:rsid w:val="00F511E7"/>
    <w:rsid w:val="00F55D44"/>
    <w:rsid w:val="00F6074C"/>
    <w:rsid w:val="00F6311D"/>
    <w:rsid w:val="00F70634"/>
    <w:rsid w:val="00F923A9"/>
    <w:rsid w:val="00F96B3C"/>
    <w:rsid w:val="00FA201E"/>
    <w:rsid w:val="00FA3DDE"/>
    <w:rsid w:val="00FA76E5"/>
    <w:rsid w:val="00FB7DEC"/>
    <w:rsid w:val="00FC09CC"/>
    <w:rsid w:val="00FC452E"/>
    <w:rsid w:val="00FD7CBD"/>
    <w:rsid w:val="00FE10E7"/>
    <w:rsid w:val="00FE26A4"/>
    <w:rsid w:val="00FE3F81"/>
    <w:rsid w:val="00FE56BF"/>
    <w:rsid w:val="00FE6E99"/>
    <w:rsid w:val="00FF3A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8A0B"/>
  <w15:docId w15:val="{E2A8CE6D-FC3D-49E2-8E4F-763C58E9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rPr>
  </w:style>
  <w:style w:type="paragraph" w:styleId="Heading1">
    <w:name w:val="heading 1"/>
    <w:basedOn w:val="Normal"/>
    <w:next w:val="BodyText"/>
    <w:uiPriority w:val="9"/>
    <w:qFormat/>
    <w:rsid w:val="001B2E69"/>
    <w:pPr>
      <w:keepNext/>
      <w:keepLines/>
      <w:spacing w:after="0"/>
      <w:outlineLvl w:val="0"/>
    </w:pPr>
    <w:rPr>
      <w:rFonts w:ascii="Calibri" w:eastAsia="Times New Roman" w:hAnsi="Calibri" w:cs="Calibri"/>
      <w:b/>
      <w:bCs/>
      <w:color w:val="000000"/>
    </w:rPr>
  </w:style>
  <w:style w:type="paragraph" w:styleId="Heading2">
    <w:name w:val="heading 2"/>
    <w:basedOn w:val="Author"/>
    <w:next w:val="BodyText"/>
    <w:uiPriority w:val="9"/>
    <w:unhideWhenUsed/>
    <w:qFormat/>
    <w:rsid w:val="001B2E69"/>
  </w:style>
  <w:style w:type="paragraph" w:styleId="Heading3">
    <w:name w:val="heading 3"/>
    <w:basedOn w:val="Heading1"/>
    <w:next w:val="BodyText"/>
    <w:uiPriority w:val="9"/>
    <w:unhideWhenUsed/>
    <w:qFormat/>
    <w:rsid w:val="005C6E67"/>
    <w:pPr>
      <w:outlineLvl w:val="2"/>
    </w:pPr>
    <w:rPr>
      <w:rFonts w:ascii="Cambria" w:hAnsi="Cambria"/>
    </w:rPr>
  </w:style>
  <w:style w:type="paragraph" w:styleId="Heading4">
    <w:name w:val="heading 4"/>
    <w:basedOn w:val="BodyText"/>
    <w:next w:val="BodyText"/>
    <w:uiPriority w:val="9"/>
    <w:unhideWhenUsed/>
    <w:qFormat/>
    <w:rsid w:val="00423BBD"/>
    <w:pPr>
      <w:outlineLvl w:val="3"/>
    </w:pPr>
    <w:rPr>
      <w:i/>
      <w:iCs/>
    </w:rPr>
  </w:style>
  <w:style w:type="paragraph" w:styleId="Heading5">
    <w:name w:val="heading 5"/>
    <w:basedOn w:val="BodyText"/>
    <w:next w:val="BodyText"/>
    <w:uiPriority w:val="9"/>
    <w:unhideWhenUsed/>
    <w:qFormat/>
    <w:rsid w:val="00051EC8"/>
    <w:pPr>
      <w:outlineLvl w:val="4"/>
    </w:pPr>
    <w:rPr>
      <w:b/>
      <w:bCs/>
      <w:i/>
      <w:iCs/>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Times New Roman" w:hAnsi="Calibri"/>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Times New Roman" w:hAnsi="Calibri"/>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C6E67"/>
    <w:pPr>
      <w:spacing w:before="180" w:after="180"/>
    </w:pPr>
    <w:rPr>
      <w:rFonts w:cs="Calibri"/>
      <w:color w:val="000000"/>
    </w:rPr>
  </w:style>
  <w:style w:type="paragraph" w:customStyle="1" w:styleId="FirstParagraph">
    <w:name w:val="First Paragraph"/>
    <w:basedOn w:val="BodyText"/>
    <w:next w:val="BodyText"/>
    <w:qFormat/>
  </w:style>
  <w:style w:type="paragraph" w:customStyle="1" w:styleId="Compact">
    <w:name w:val="Compact"/>
    <w:basedOn w:val="BlockText"/>
    <w:qFormat/>
    <w:rsid w:val="00606369"/>
    <w:pPr>
      <w:numPr>
        <w:numId w:val="0"/>
      </w:numPr>
      <w:ind w:left="480"/>
    </w:pPr>
    <w:rPr>
      <w:b/>
      <w:bCs/>
      <w:sz w:val="22"/>
      <w:szCs w:val="22"/>
    </w:rPr>
  </w:style>
  <w:style w:type="paragraph" w:styleId="Title">
    <w:name w:val="Title"/>
    <w:basedOn w:val="Heading1"/>
    <w:next w:val="BodyText"/>
    <w:qFormat/>
    <w:rsid w:val="005C6E67"/>
    <w:rPr>
      <w:rFonts w:ascii="Cambria" w:hAnsi="Cambria"/>
      <w:sz w:val="32"/>
      <w:szCs w:val="32"/>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basedOn w:val="Normal"/>
    <w:next w:val="BodyText"/>
    <w:qFormat/>
    <w:rsid w:val="005C6E67"/>
    <w:pPr>
      <w:keepNext/>
      <w:keepLines/>
      <w:spacing w:after="0"/>
      <w:outlineLvl w:val="1"/>
    </w:pPr>
    <w:rPr>
      <w:rFonts w:eastAsia="Times New Roman" w:cs="Calibri"/>
      <w:iCs/>
      <w:color w:val="000000"/>
      <w:sz w:val="28"/>
      <w:szCs w:val="28"/>
    </w:rPr>
  </w:style>
  <w:style w:type="paragraph" w:styleId="Date">
    <w:name w:val="Date"/>
    <w:next w:val="BodyText"/>
    <w:qFormat/>
    <w:pPr>
      <w:keepNext/>
      <w:keepLines/>
      <w:spacing w:after="200"/>
      <w:jc w:val="center"/>
    </w:pPr>
    <w:rPr>
      <w:sz w:val="24"/>
      <w:szCs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6E67"/>
    <w:pPr>
      <w:numPr>
        <w:numId w:val="3"/>
      </w:numPr>
      <w:spacing w:before="0" w:after="0"/>
      <w:ind w:right="480"/>
    </w:pPr>
  </w:style>
  <w:style w:type="paragraph" w:styleId="FootnoteText">
    <w:name w:val="footnote text"/>
    <w:basedOn w:val="Footer"/>
    <w:uiPriority w:val="9"/>
    <w:unhideWhenUsed/>
    <w:qFormat/>
    <w:rsid w:val="005C6E67"/>
    <w:rPr>
      <w:sz w:val="16"/>
      <w:szCs w:val="16"/>
    </w:rPr>
  </w:style>
  <w:style w:type="table" w:customStyle="1" w:styleId="Table">
    <w:name w:val="Table"/>
    <w:semiHidden/>
    <w:unhideWhenUsed/>
    <w:qFormat/>
    <w:pPr>
      <w:spacing w:after="200"/>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cs="Times New Roman"/>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Header">
    <w:name w:val="header"/>
    <w:basedOn w:val="Normal"/>
    <w:link w:val="HeaderChar"/>
    <w:unhideWhenUsed/>
    <w:rsid w:val="005C6E67"/>
    <w:pPr>
      <w:tabs>
        <w:tab w:val="center" w:pos="4680"/>
        <w:tab w:val="right" w:pos="9360"/>
      </w:tabs>
      <w:spacing w:after="0"/>
    </w:pPr>
  </w:style>
  <w:style w:type="character" w:customStyle="1" w:styleId="HeaderChar">
    <w:name w:val="Header Char"/>
    <w:basedOn w:val="DefaultParagraphFont"/>
    <w:link w:val="Header"/>
    <w:rsid w:val="005C6E67"/>
  </w:style>
  <w:style w:type="paragraph" w:styleId="Footer">
    <w:name w:val="footer"/>
    <w:basedOn w:val="Normal"/>
    <w:link w:val="FooterChar"/>
    <w:uiPriority w:val="99"/>
    <w:unhideWhenUsed/>
    <w:rsid w:val="005C6E67"/>
    <w:pPr>
      <w:tabs>
        <w:tab w:val="center" w:pos="4680"/>
        <w:tab w:val="right" w:pos="9360"/>
      </w:tabs>
      <w:spacing w:after="0"/>
    </w:pPr>
  </w:style>
  <w:style w:type="character" w:customStyle="1" w:styleId="FooterChar">
    <w:name w:val="Footer Char"/>
    <w:basedOn w:val="DefaultParagraphFont"/>
    <w:link w:val="Footer"/>
    <w:uiPriority w:val="99"/>
    <w:rsid w:val="005C6E67"/>
  </w:style>
  <w:style w:type="table" w:styleId="TableGrid">
    <w:name w:val="Table Grid"/>
    <w:basedOn w:val="TableNormal"/>
    <w:rsid w:val="00D3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1248">
      <w:bodyDiv w:val="1"/>
      <w:marLeft w:val="0"/>
      <w:marRight w:val="0"/>
      <w:marTop w:val="0"/>
      <w:marBottom w:val="0"/>
      <w:divBdr>
        <w:top w:val="none" w:sz="0" w:space="0" w:color="auto"/>
        <w:left w:val="none" w:sz="0" w:space="0" w:color="auto"/>
        <w:bottom w:val="none" w:sz="0" w:space="0" w:color="auto"/>
        <w:right w:val="none" w:sz="0" w:space="0" w:color="auto"/>
      </w:divBdr>
    </w:div>
    <w:div w:id="281880935">
      <w:bodyDiv w:val="1"/>
      <w:marLeft w:val="0"/>
      <w:marRight w:val="0"/>
      <w:marTop w:val="0"/>
      <w:marBottom w:val="0"/>
      <w:divBdr>
        <w:top w:val="none" w:sz="0" w:space="0" w:color="auto"/>
        <w:left w:val="none" w:sz="0" w:space="0" w:color="auto"/>
        <w:bottom w:val="none" w:sz="0" w:space="0" w:color="auto"/>
        <w:right w:val="none" w:sz="0" w:space="0" w:color="auto"/>
      </w:divBdr>
    </w:div>
    <w:div w:id="861282339">
      <w:bodyDiv w:val="1"/>
      <w:marLeft w:val="0"/>
      <w:marRight w:val="0"/>
      <w:marTop w:val="0"/>
      <w:marBottom w:val="0"/>
      <w:divBdr>
        <w:top w:val="none" w:sz="0" w:space="0" w:color="auto"/>
        <w:left w:val="none" w:sz="0" w:space="0" w:color="auto"/>
        <w:bottom w:val="none" w:sz="0" w:space="0" w:color="auto"/>
        <w:right w:val="none" w:sz="0" w:space="0" w:color="auto"/>
      </w:divBdr>
    </w:div>
    <w:div w:id="998461184">
      <w:bodyDiv w:val="1"/>
      <w:marLeft w:val="0"/>
      <w:marRight w:val="0"/>
      <w:marTop w:val="0"/>
      <w:marBottom w:val="0"/>
      <w:divBdr>
        <w:top w:val="none" w:sz="0" w:space="0" w:color="auto"/>
        <w:left w:val="none" w:sz="0" w:space="0" w:color="auto"/>
        <w:bottom w:val="none" w:sz="0" w:space="0" w:color="auto"/>
        <w:right w:val="none" w:sz="0" w:space="0" w:color="auto"/>
      </w:divBdr>
    </w:div>
    <w:div w:id="1068921551">
      <w:bodyDiv w:val="1"/>
      <w:marLeft w:val="0"/>
      <w:marRight w:val="0"/>
      <w:marTop w:val="0"/>
      <w:marBottom w:val="0"/>
      <w:divBdr>
        <w:top w:val="none" w:sz="0" w:space="0" w:color="auto"/>
        <w:left w:val="none" w:sz="0" w:space="0" w:color="auto"/>
        <w:bottom w:val="none" w:sz="0" w:space="0" w:color="auto"/>
        <w:right w:val="none" w:sz="0" w:space="0" w:color="auto"/>
      </w:divBdr>
    </w:div>
    <w:div w:id="1557232604">
      <w:bodyDiv w:val="1"/>
      <w:marLeft w:val="0"/>
      <w:marRight w:val="0"/>
      <w:marTop w:val="0"/>
      <w:marBottom w:val="0"/>
      <w:divBdr>
        <w:top w:val="none" w:sz="0" w:space="0" w:color="auto"/>
        <w:left w:val="none" w:sz="0" w:space="0" w:color="auto"/>
        <w:bottom w:val="none" w:sz="0" w:space="0" w:color="auto"/>
        <w:right w:val="none" w:sz="0" w:space="0" w:color="auto"/>
      </w:divBdr>
    </w:div>
    <w:div w:id="16266150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AABD86-5849-493C-8D63-7ABD1FF0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17</Pages>
  <Words>37491</Words>
  <Characters>213702</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Cistola,Andrew S</dc:creator>
  <cp:keywords/>
  <cp:lastModifiedBy>Cistola,Andrew S</cp:lastModifiedBy>
  <cp:revision>347</cp:revision>
  <dcterms:created xsi:type="dcterms:W3CDTF">2021-08-16T14:22:00Z</dcterms:created>
  <dcterms:modified xsi:type="dcterms:W3CDTF">2021-08-16T22:13:00Z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1627881</vt:lpwstr>
  </property>
  <property fmtid="{D5CDD505-2E9C-101B-9397-08002B2CF9AE}" pid="4" name="InsertAsFootnote">
    <vt:lpwstr>False</vt:lpwstr>
  </property>
  <property fmtid="{D5CDD505-2E9C-101B-9397-08002B2CF9AE}" pid="5" name="StyleId">
    <vt:lpwstr>http://www.zotero.org/styles/vancouver</vt:lpwstr>
  </property>
</Properties>
</file>