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Junho Andrew Choi</w:t>
      </w:r>
    </w:p>
    <w:p>
      <w:pPr>
        <w:spacing w:after="8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| 510-734-9646 | andrewc27@berkeley.edu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linkedin.com/in/junho-choi-a8b097239 | github.com/andrewcjh27 | andrewcjh27.github.io/Portfolio-site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SUMMARY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Data Science and Integrative Biology senior at UC Berkeley targeting machine learning, applied AI, and AI evaluation roles. Two research internships building and stress-testing production AI systems: large language model evaluation on a live enterprise system, and deep learning for 3D medical imaging. Python, SQL, PyTorch, knowledge graphs, model evaluation.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B.A. Data Science (Concentration: Computational Methods in Biology) and B.A. Integrative Biology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</w:t>
      </w:r>
      <w:r>
        <w:rPr>
          <w:rFonts w:ascii="Calibri" w:cs="Calibri" w:eastAsia="Calibri" w:hAnsi="Calibri"/>
          <w:sz w:val="19"/>
          <w:szCs w:val="19"/>
        </w:rPr>
        <w:t xml:space="preserve"> Machine Learning (CS 189, in progress), Data Engineering (DS C101, in progress), Principles &amp; Techniques of Data Science, Data Structures, Probability for Data Science, Optimization Modeling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SKILLS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SQL, Java, R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&amp; AI: </w:t>
      </w:r>
      <w:r>
        <w:rPr>
          <w:rFonts w:ascii="Calibri" w:cs="Calibri" w:eastAsia="Calibri" w:hAnsi="Calibri"/>
          <w:sz w:val="19"/>
          <w:szCs w:val="19"/>
        </w:rPr>
        <w:t xml:space="preserve">PyTorch, scikit-learn, NumPy, pandas, deep learning, large language model (LLM) evaluation, retrieval-augmented generation (RAG), natural language to SQL (Text2SQL), knowledge graphs (Neo4j), model interpretability (SHAP, Grad-CAM), feature engineering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Analytics: </w:t>
      </w:r>
      <w:r>
        <w:rPr>
          <w:rFonts w:ascii="Calibri" w:cs="Calibri" w:eastAsia="Calibri" w:hAnsi="Calibri"/>
          <w:sz w:val="19"/>
          <w:szCs w:val="19"/>
        </w:rPr>
        <w:t xml:space="preserve">PostgreSQL, exploratory data analysis (EDA), statistics, data pipelines, model evaluation, data visualization, Jupyter, Git, React, Vite, Figma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SmartMind AI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2026 - Aug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Researcher, Data Science Team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Initiated and led a proof-of-concept natural-language-to-SQL pipeline on a live enterprise resource planning (ERP) system, redesigning evaluation from single-run pass/fail into a 43-run reproducibility framework that converted an unverified 20/20 pass rate into a measured 13/15 and surfaced 3 systemic accounting-logic defects producing valid but silently wrong SQL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Improved retrieval quality in a Neo4j-based ontology pipeline (ApeRAG/Qurify) by auditing entity-merge accuracy and tuning similarity confidence thresholds, tracing failed queries back to missing or duplicate graph nodes, and migrating 15 business rules from long-form prompts into structured graph nodes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 Medical Center (AMC)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2025 - Aug 2025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 Intern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Co-authored a research paper on a multimodal deep survival model for hepatocellular carcinoma, developing and fine-tuning 3D U-Net and ResNet3D architectures in PyTorch and integrating SHAP and Grad-CAM to validate feature importance for high-stakes clinical prediction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Ran large-scale exploratory analysis across 3D CT and clinical modalities for the VLM3D Multi-Abnormality Classification Challenge, informing the feature selection and strategy that placed 7th among multi-institutional teams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Invention Corps of Berkeley - Mozilla Firefox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Aug 2025 - Feb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Design Engineer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Engineered a Firefox performance-monitoring extension in React and Vite that tracked, filtered, and sorted 50+ concurrent tabs by live memory and CPU usage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survey-based user research with a 12-person team, translating findings into feature requirements and Figma interface designs that shaped the shipped extension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rad-DINO:</w:t>
      </w:r>
      <w:r>
        <w:rPr>
          <w:rFonts w:ascii="Calibri" w:cs="Calibri" w:eastAsia="Calibri" w:hAnsi="Calibri"/>
          <w:sz w:val="19"/>
          <w:szCs w:val="19"/>
        </w:rPr>
        <w:t xml:space="preserve"> implemented and ran experiments with a self-supervised vision transformer for radiology imaging, evaluating learned representations for downstream classification in PyTorch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Ad Generation System:</w:t>
      </w:r>
      <w:r>
        <w:rPr>
          <w:rFonts w:ascii="Calibri" w:cs="Calibri" w:eastAsia="Calibri" w:hAnsi="Calibri"/>
          <w:sz w:val="19"/>
          <w:szCs w:val="19"/>
        </w:rPr>
        <w:t xml:space="preserve"> built an 8-agent large language model pipeline for on-brand ads, where agents exchange a versioned JSON spec rather than prose and a brand-guardian agent hard-vetoes on deterministic color and layout gates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Tactical Assistant:</w:t>
      </w:r>
      <w:r>
        <w:rPr>
          <w:rFonts w:ascii="Calibri" w:cs="Calibri" w:eastAsia="Calibri" w:hAnsi="Calibri"/>
          <w:sz w:val="19"/>
          <w:szCs w:val="19"/>
        </w:rPr>
        <w:t xml:space="preserve"> trained a PyTorch network to predict match outcomes from historical player and team data, paired with a PuLP linear-programming optimizer generating constrained optimal formations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Activation Domain Prediction Pipeline:</w:t>
      </w:r>
      <w:r>
        <w:rPr>
          <w:rFonts w:ascii="Calibri" w:cs="Calibri" w:eastAsia="Calibri" w:hAnsi="Calibri"/>
          <w:sz w:val="19"/>
          <w:szCs w:val="19"/>
        </w:rPr>
        <w:t xml:space="preserve"> developed a CNN-BiLSTM model classifying transcriptional activation domains from protein sequences with sliding-window feature engineering and K-means clustering, reaching F1 = 0.95 across 10 subclasses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LEADERSHIP &amp; AWARDS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 Army, 8th Army 2ID HHBN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Sep 2022 - Mar 2024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Non-Commissioned Officer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a 40+ soldier platoon as a bilingual Korean-English platoon leader, delivering Army Combat Fitness Test (ACFT) training and coursework to a 96% platoon pass rate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Awarded the US Army Certificate of Achievement (Mar 2024) for leadership and bilingual communication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2026-09-03T02:56:41.616Z</dcterms:created>
  <dcterms:modified xsi:type="dcterms:W3CDTF">2026-09-03T02:56:41.616Z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