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Junho Andrew Choi</w:t>
      </w:r>
    </w:p>
    <w:p>
      <w:pPr>
        <w:spacing w:after="8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Berkeley, CA | 510-734-9646 | andrewc27@berkeley.edu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linkedin.com/in/junho-choi-a8b097239 | github.com/andrewcjh27 | andrewcjh27.github.io/Portfolio-site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SUMMARY</w:t>
      </w:r>
    </w:p>
    <w:p>
      <w:p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Data Science and Integrative Biology senior at UC Berkeley targeting product data scientist and data analyst roles. Experience turning ambiguous questions into measured answers: replaced an unverified benchmark with a multi-trial measurement design, and ran survey-based quantitative research that shaped shipped product decisions. Python, SQL, statistics, and communicating findings to non-technical stakeholders.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EDUCATION</w:t>
      </w:r>
    </w:p>
    <w:p>
      <w:pPr>
        <w:tabs>
          <w:tab w:val="right" w:pos="10800"/>
        </w:tabs>
        <w:spacing w:after="6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University of California, Berkeley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19"/>
          <w:szCs w:val="19"/>
        </w:rPr>
        <w:t xml:space="preserve">Expected May 2027</w:t>
      </w:r>
    </w:p>
    <w:p>
      <w:pPr>
        <w:tabs>
          <w:tab w:val="right" w:pos="10800"/>
        </w:tabs>
        <w:spacing w:after="14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B.A. Data Science (Concentration: Computational Methods in Biology) and B.A. Integrative Biology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Berkeley, CA</w:t>
      </w:r>
    </w:p>
    <w:p>
      <w:pPr>
        <w:spacing w:after="10" w:line="2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Coursework:</w:t>
      </w:r>
      <w:r>
        <w:rPr>
          <w:rFonts w:ascii="Calibri" w:cs="Calibri" w:eastAsia="Calibri" w:hAnsi="Calibri"/>
          <w:sz w:val="19"/>
          <w:szCs w:val="19"/>
        </w:rPr>
        <w:t xml:space="preserve"> Probability for Data Science (Data C140), Principles &amp; Techniques of Data Science (Data 100), Optimization Modeling (IEOR 164), Data Structures, Ethics of Data;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in progress:</w:t>
      </w:r>
      <w:r>
        <w:rPr>
          <w:rFonts w:ascii="Calibri" w:cs="Calibri" w:eastAsia="Calibri" w:hAnsi="Calibri"/>
          <w:sz w:val="19"/>
          <w:szCs w:val="19"/>
        </w:rPr>
        <w:t xml:space="preserve"> Machine Learning (CS 189), Data Engineering (DS C101)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SKILLS</w:t>
      </w:r>
    </w:p>
    <w:p>
      <w:pPr>
        <w:spacing w:after="10" w:line="222"/>
        <w:ind w:left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 &amp; Tools: </w:t>
      </w:r>
      <w:r>
        <w:rPr>
          <w:rFonts w:ascii="Calibri" w:cs="Calibri" w:eastAsia="Calibri" w:hAnsi="Calibri"/>
          <w:sz w:val="19"/>
          <w:szCs w:val="19"/>
        </w:rPr>
        <w:t xml:space="preserve">Python (pandas, NumPy, scikit-learn), SQL, R, PostgreSQL, Jupyter, Git, Figma</w:t>
      </w:r>
    </w:p>
    <w:p>
      <w:pPr>
        <w:spacing w:after="10" w:line="222"/>
        <w:ind w:left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Statistics &amp; Methods: </w:t>
      </w:r>
      <w:r>
        <w:rPr>
          <w:rFonts w:ascii="Calibri" w:cs="Calibri" w:eastAsia="Calibri" w:hAnsi="Calibri"/>
          <w:sz w:val="19"/>
          <w:szCs w:val="19"/>
        </w:rPr>
        <w:t xml:space="preserve">probability, hypothesis testing, regression, exploratory data analysis (EDA), survey design, cohort segmentation, precision-recall tradeoffs, linear programming, model evaluation</w:t>
      </w:r>
    </w:p>
    <w:p>
      <w:pPr>
        <w:spacing w:after="10" w:line="222"/>
        <w:ind w:left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Communication: </w:t>
      </w:r>
      <w:r>
        <w:rPr>
          <w:rFonts w:ascii="Calibri" w:cs="Calibri" w:eastAsia="Calibri" w:hAnsi="Calibri"/>
          <w:sz w:val="19"/>
          <w:szCs w:val="19"/>
        </w:rPr>
        <w:t xml:space="preserve">data visualization, stakeholder reporting, technical documentation, bilingual Korean and English</w:t>
      </w:r>
    </w:p>
    <w:p>
      <w:pPr>
        <w:spacing w:after="10" w:line="222"/>
        <w:ind w:left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Spoken: </w:t>
      </w:r>
      <w:r>
        <w:rPr>
          <w:rFonts w:ascii="Calibri" w:cs="Calibri" w:eastAsia="Calibri" w:hAnsi="Calibri"/>
          <w:sz w:val="19"/>
          <w:szCs w:val="19"/>
        </w:rPr>
        <w:t xml:space="preserve">Korean (native), English (fluent), Mandarin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EXPERIENCE</w:t>
      </w:r>
    </w:p>
    <w:p>
      <w:pPr>
        <w:tabs>
          <w:tab w:val="right" w:pos="10800"/>
        </w:tabs>
        <w:spacing w:after="6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SmartMind AI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19"/>
          <w:szCs w:val="19"/>
        </w:rPr>
        <w:t xml:space="preserve">May 2026 - Aug 2026</w:t>
      </w:r>
    </w:p>
    <w:p>
      <w:pPr>
        <w:tabs>
          <w:tab w:val="right" w:pos="10800"/>
        </w:tabs>
        <w:spacing w:after="14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AI Researcher, Data Science Team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Seoul, Republic of Korea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Replaced single-run pass/fail testing with a 43-run measurement design (15 scenarios, 3 trials each), converting an unverified 20/20 result into a measured 13/15 with observable run-to-run variance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Corrected 2 errors in the client's own reference answers by reconciling live query output against source financial statements, and traced a 40% discrepancy in a financial ratio to one inconsistent join pattern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Documented the business logic the analysis depended on (debit/credit balancing, fiscal-period joins, composite keys) by extracting undocumented rules from the client data team</w:t>
      </w:r>
    </w:p>
    <w:p>
      <w:pPr>
        <w:tabs>
          <w:tab w:val="right" w:pos="10800"/>
        </w:tabs>
        <w:spacing w:after="6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Asan Medical Center (AMC)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19"/>
          <w:szCs w:val="19"/>
        </w:rPr>
        <w:t xml:space="preserve">May 2025 - Aug 2025</w:t>
      </w:r>
    </w:p>
    <w:p>
      <w:pPr>
        <w:tabs>
          <w:tab w:val="right" w:pos="10800"/>
        </w:tabs>
        <w:spacing w:after="14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AI Research Intern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Seoul, Republic of Korea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Analyzed high-dimensional clinical datasets in Python and Jupyter, identifying the data patterns that informed feature selection and a team strategy placing 7th among multi-institutional teams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Applied interpretability techniques (SHAP, Grad-CAM) to validate model outputs and communicate feature importance to clinicians without a technical background</w:t>
      </w:r>
    </w:p>
    <w:p>
      <w:pPr>
        <w:tabs>
          <w:tab w:val="right" w:pos="10800"/>
        </w:tabs>
        <w:spacing w:after="6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Berkeley Consulting Collaborative - Braven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19"/>
          <w:szCs w:val="19"/>
        </w:rPr>
        <w:t xml:space="preserve">Jan 2025 - May 2025</w:t>
      </w:r>
    </w:p>
    <w:p>
      <w:pPr>
        <w:tabs>
          <w:tab w:val="right" w:pos="10800"/>
        </w:tabs>
        <w:spacing w:after="14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Data &amp; UX Consultant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Berkeley, CA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Cleaned and visualized survey responses across an 8-person team using bar charts, histograms, and heatmaps, surfacing majority patterns, outliers, and inconsistencies in attendance, device, and content-preference distributions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Segmented the dataset by class year and re-ran the analysis per cohort when the aggregate profile proved too coarse, producing four distinct data-driven personas that drove mobile app iterations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Heart Disease Predictor:</w:t>
      </w:r>
      <w:r>
        <w:rPr>
          <w:rFonts w:ascii="Calibri" w:cs="Calibri" w:eastAsia="Calibri" w:hAnsi="Calibri"/>
          <w:sz w:val="19"/>
          <w:szCs w:val="19"/>
        </w:rPr>
        <w:t xml:space="preserve"> built an end-to-end classification pipeline on the UCI Cleveland dataset reaching 87.3% accuracy, deliberately prioritizing recall over precision to reduce missed diagnoses of at-risk patients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Spam Classifier:</w:t>
      </w:r>
      <w:r>
        <w:rPr>
          <w:rFonts w:ascii="Calibri" w:cs="Calibri" w:eastAsia="Calibri" w:hAnsi="Calibri"/>
          <w:sz w:val="19"/>
          <w:szCs w:val="19"/>
        </w:rPr>
        <w:t xml:space="preserve"> performed exploratory data analysis and feature engineering on 8,000+ SpamAssassin examples, optimizing the precision-recall tradeoff to minimize false positives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Geospatial Route Optimizer:</w:t>
      </w:r>
      <w:r>
        <w:rPr>
          <w:rFonts w:ascii="Calibri" w:cs="Calibri" w:eastAsia="Calibri" w:hAnsi="Calibri"/>
          <w:sz w:val="19"/>
          <w:szCs w:val="19"/>
        </w:rPr>
        <w:t xml:space="preserve"> computed pairwise distances across 200+ real-world coordinates and applied depth-first search with branch-and-bound pruning to identify globally optimal traversal paths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 Tactical Assistant:</w:t>
      </w:r>
      <w:r>
        <w:rPr>
          <w:rFonts w:ascii="Calibri" w:cs="Calibri" w:eastAsia="Calibri" w:hAnsi="Calibri"/>
          <w:sz w:val="19"/>
          <w:szCs w:val="19"/>
        </w:rPr>
        <w:t xml:space="preserve"> trained a PyTorch model to predict match outcomes from historical player and team data, paired with a PuLP linear-programming optimizer generating constrained optimal formations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LEADERSHIP &amp; AWARDS</w:t>
      </w:r>
    </w:p>
    <w:p>
      <w:pPr>
        <w:tabs>
          <w:tab w:val="right" w:pos="10800"/>
        </w:tabs>
        <w:spacing w:after="6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US Army, 8th Army 2ID HHBN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19"/>
          <w:szCs w:val="19"/>
        </w:rPr>
        <w:t xml:space="preserve">Sep 2022 - Mar 2024</w:t>
      </w:r>
    </w:p>
    <w:p>
      <w:pPr>
        <w:tabs>
          <w:tab w:val="right" w:pos="10800"/>
        </w:tabs>
        <w:spacing w:after="14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Non-Commissioned Officer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Republic of Korea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Led a 40+ soldier platoon as a bilingual Korean-English platoon leader, delivering Army Combat Fitness Test (ACFT) training and coursework to a 96% platoon pass rate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Awarded the US Army Certificate of Achievement (Mar 2024) for leadership and bilingual communication</w:t>
      </w:r>
    </w:p>
    <w:sectPr>
      <w:pgSz w:w="12240" w:h="15840" w:orient="portrait"/>
      <w:pgMar w:top="576" w:right="720" w:bottom="504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16" w:hanging="1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2026-09-03T02:55:25.789Z</dcterms:created>
  <dcterms:modified xsi:type="dcterms:W3CDTF">2026-09-03T02:55:25.789Z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