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ga9oj82d6w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Blue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q6jbgvjge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i22u5ob72v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Azure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network to conduct offensive and defensive operations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:192.168.1.1-255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Serve as vulnerable web server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192.168.1.110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Kali Linux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Serve as attack machine to conduct offensive operations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192.168.1.90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Kibana to allow for analyzing logs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192.168.1.100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Capstone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Contains filebeat and metricbeat which allow for testing alerts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Address: </w:t>
      </w:r>
      <w:r w:rsidDel="00000000" w:rsidR="00000000" w:rsidRPr="00000000">
        <w:rPr>
          <w:rtl w:val="0"/>
        </w:rPr>
        <w:t xml:space="preserve">192.168.1.105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djr2sae6upv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target of this attack was: Target 1 (192.168.1.110).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h1znbybfh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the Targets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Traffic to these services should be carefully monitored. To this end, we have implemented the alerts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Excessive HTTP Errors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Excessive HTTP Errors</w:t>
      </w:r>
      <w:r w:rsidDel="00000000" w:rsidR="00000000" w:rsidRPr="00000000">
        <w:rPr>
          <w:rtl w:val="0"/>
        </w:rPr>
        <w:t xml:space="preserve"> is implemented as follows: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http.response.status_code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Top 5 http.response.status_code is above 400 for the last 5 minutes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Possible SQL Injection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This alert has low reliability. It generates false positives quite often.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0ganjizd7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 Usage Monitor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CPU Usage Monitor </w:t>
      </w:r>
      <w:r w:rsidDel="00000000" w:rsidR="00000000" w:rsidRPr="00000000">
        <w:rPr>
          <w:rtl w:val="0"/>
        </w:rPr>
        <w:t xml:space="preserve">is implemented as follows: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system.process.cpu.total.pct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When system.process.cpu.total.pct over all documents is above 0.5 for the last 5 minutes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Brute Force Attack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:This alert has low reliability. It generates false positives quite often.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il14f7mmt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Request Size Monitor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 Request Size Monitor</w:t>
      </w:r>
      <w:r w:rsidDel="00000000" w:rsidR="00000000" w:rsidRPr="00000000">
        <w:rPr>
          <w:rtl w:val="0"/>
        </w:rPr>
        <w:t xml:space="preserve"> is implemented as follows: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http.request.bytes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When sum of http requests is above 3500 bytes in one minute.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HTTP Flood Attack (Type of DDOS)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This alert has low reliability. It generates false positives quite often.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