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Microsoft JhengHei" w:hAnsi="Microsoft JhengHei"/>
          <w:b/>
          <w:color w:val="1D4ED8"/>
          <w:sz w:val="52"/>
        </w:rPr>
        <w:t>Orshoes 門市智慧庫存銷售系統</w:t>
      </w:r>
    </w:p>
    <w:p>
      <w:pPr>
        <w:spacing w:after="960"/>
        <w:jc w:val="center"/>
      </w:pPr>
      <w:r>
        <w:rPr>
          <w:rFonts w:ascii="Microsoft JhengHei" w:hAnsi="Microsoft JhengHei"/>
          <w:b/>
          <w:color w:val="4B5563"/>
          <w:sz w:val="28"/>
        </w:rPr>
        <w:t>系統開發規格設計說明書</w:t>
      </w:r>
    </w:p>
    <w:p/>
    <w:p/>
    <w:p/>
    <w:p/>
    <w:p/>
    <w:p/>
    <w:p/>
    <w:p/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系統環境：</w:t>
      </w:r>
      <w:r>
        <w:rPr>
          <w:rFonts w:ascii="Microsoft JhengHei" w:hAnsi="Microsoft JhengHei"/>
        </w:rPr>
        <w:t>行動裝置 Web App (PWA 漸進式網頁應用)</w:t>
      </w:r>
    </w:p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後端框架：</w:t>
      </w:r>
      <w:r>
        <w:rPr>
          <w:rFonts w:ascii="Microsoft JhengHei" w:hAnsi="Microsoft JhengHei"/>
        </w:rPr>
        <w:t>.NET Core 8.0 / C# / Web API</w:t>
      </w:r>
    </w:p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前端技術：</w:t>
      </w:r>
      <w:r>
        <w:rPr>
          <w:rFonts w:ascii="Microsoft JhengHei" w:hAnsi="Microsoft JhengHei"/>
        </w:rPr>
        <w:t>PWA / HTML5 / CSS3 (動態字型自適應技術) / Vanilla JS</w:t>
      </w:r>
    </w:p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資料庫：</w:t>
      </w:r>
      <w:r>
        <w:rPr>
          <w:rFonts w:ascii="Microsoft JhengHei" w:hAnsi="Microsoft JhengHei"/>
        </w:rPr>
        <w:t>Microsoft SQL Server</w:t>
      </w:r>
    </w:p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版本：</w:t>
      </w:r>
      <w:r>
        <w:rPr>
          <w:rFonts w:ascii="Microsoft JhengHei" w:hAnsi="Microsoft JhengHei"/>
        </w:rPr>
        <w:t>v1.0 (高齡友善與掃描流優化版)</w:t>
      </w:r>
    </w:p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日期：</w:t>
      </w:r>
      <w:r>
        <w:rPr>
          <w:rFonts w:ascii="Microsoft JhengHei" w:hAnsi="Microsoft JhengHei"/>
        </w:rPr>
        <w:t>2026 年 07 月 02 日</w:t>
      </w:r>
    </w:p>
    <w:p>
      <w:pPr>
        <w:spacing w:after="120"/>
        <w:ind w:left="2160"/>
        <w:jc w:val="left"/>
      </w:pPr>
      <w:r>
        <w:rPr>
          <w:rFonts w:ascii="Microsoft JhengHei" w:hAnsi="Microsoft JhengHei"/>
          <w:b/>
        </w:rPr>
        <w:t>撰寫：</w:t>
      </w:r>
      <w:r>
        <w:rPr>
          <w:rFonts w:ascii="Microsoft JhengHei" w:hAnsi="Microsoft JhengHei"/>
        </w:rPr>
        <w:t>AI Pair Programmer (Antigravity)</w:t>
      </w:r>
    </w:p>
    <w:p>
      <w:r>
        <w:br w:type="page"/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一、 專案概述與系統定位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Orshoes 門市智慧庫存銷售系統 (以下簡稱本系統) 旨在為門市第一線銷售顧問提供快速、直覺且高容錯的銷售與庫存查詢工具。本系統針對現場使用情境，排除繁瑣的滑鼠操作，採用高齡友善的明亮對比色彩與可動態縮放的大字型設計，確保銷售顧問在忙碌的店面環境中，能輕鬆讀取資訊。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本系統採「PWA 離線優先」與「條碼掃描驅動」的雙核心定位：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高齡友善 (Senior Friendly)：採用大字體設計，預設為 1.45 倍字級，且所有區塊均支援高度自動撐開與文字折行，避免版面破裂。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極速操作：整合行動裝置原生相機進行 QR Code / 條碼掃描。掃描即直接關聯商品及庫存。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混合模式 (PWA Mode)：以 Web 技術包裝，能像原生 App 一樣安裝至 iPhone / Android 桌面，支援快取與離線查詢。</w:t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二、 系統技術架構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2.1 技術棧說明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系統架構分為前端 Progressive Web App (PWA) 以及後端 .NET Core 服務端 API。詳細架構如下：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D4ED8"/>
          </w:tcPr>
          <w:p>
            <w:r>
              <w:rPr>
                <w:b/>
                <w:color w:val="FFFFFF"/>
              </w:rPr>
              <w:t>分層</w:t>
            </w:r>
          </w:p>
        </w:tc>
        <w:tc>
          <w:tcPr>
            <w:tcW w:type="dxa" w:w="3120"/>
            <w:shd w:fill="1D4ED8"/>
          </w:tcPr>
          <w:p>
            <w:r>
              <w:rPr>
                <w:b/>
                <w:color w:val="FFFFFF"/>
              </w:rPr>
              <w:t>採用技術 / 框架</w:t>
            </w:r>
          </w:p>
        </w:tc>
        <w:tc>
          <w:tcPr>
            <w:tcW w:type="dxa" w:w="3120"/>
            <w:shd w:fill="1D4ED8"/>
          </w:tcPr>
          <w:p>
            <w:r>
              <w:rPr>
                <w:b/>
                <w:color w:val="FFFFFF"/>
              </w:rPr>
              <w:t>功能與作用說明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前端 (PWA)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HTML5 / CSS3 (CSS Variables) / Vanilla 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提供極速響應的 UI，註冊 Service Worker 提供離線快取，並透過 Web App Manifest 實現無瀏覽器外框的桌面全螢幕運行。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後端 (API)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.NET Core 8.0 Web API / C#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提供高效、安全的 RESTful API 服務。包含驗證權限、庫存查詢、訂單寫入、他店庫存篩選等模組。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資料庫層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SQL Server / Entity Framework Core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利用 EF Core 進行 ORM 對接，建立門市資料、庫存主檔、交易流水明細。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2.2 前端 PWA 快取策略 (Stale-While-Revalidate)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前端透過註冊 Service Worker (`service-worker.js`) 實現 Stale-While-Revalidate (過期前驗證) 快取策略。App 啟動時會立即自快取載入靜態資源 (HTML、CSS、JS、字型)，提供秒開體驗；與此同時，背景發送 Request 向伺服器比對雜湊值，如有新版即下載備用，並在下次開啟時自動 Reload 更新版號，解決 Web 應用程式嚴重的快取殘留問題。</w:t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三、 資料庫 Schema 設計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本系統包含員工資料、商品資料、門市庫存及訂單流水帳。主要資料表結構規劃如下：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3.1 員工檔 (Users)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記錄銷售顧問與店員的基本登入資料。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color w:val="FFFFFF"/>
              </w:rPr>
              <w:t>欄位名稱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資料型態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鍵值關係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說明說明</w:t>
            </w:r>
          </w:p>
        </w:tc>
      </w:tr>
      <w:tr>
        <w:tc>
          <w:tcPr>
            <w:tcW w:type="dxa" w:w="2340"/>
          </w:tcPr>
          <w:p>
            <w:r>
              <w:t>UserId</w:t>
            </w:r>
          </w:p>
        </w:tc>
        <w:tc>
          <w:tcPr>
            <w:tcW w:type="dxa" w:w="2340"/>
          </w:tcPr>
          <w:p>
            <w:r>
              <w:t>VARCHAR(50)</w:t>
            </w:r>
          </w:p>
        </w:tc>
        <w:tc>
          <w:tcPr>
            <w:tcW w:type="dxa" w:w="2340"/>
          </w:tcPr>
          <w:p>
            <w:r>
              <w:t>PK</w:t>
            </w:r>
          </w:p>
        </w:tc>
        <w:tc>
          <w:tcPr>
            <w:tcW w:type="dxa" w:w="2340"/>
          </w:tcPr>
          <w:p>
            <w:r>
              <w:t>員工編號 (如 EM-99214)</w:t>
            </w:r>
          </w:p>
        </w:tc>
      </w:tr>
      <w:tr>
        <w:tc>
          <w:tcPr>
            <w:tcW w:type="dxa" w:w="2340"/>
          </w:tcPr>
          <w:p>
            <w:r>
              <w:t>PasswordHash</w:t>
            </w:r>
          </w:p>
        </w:tc>
        <w:tc>
          <w:tcPr>
            <w:tcW w:type="dxa" w:w="2340"/>
          </w:tcPr>
          <w:p>
            <w:r>
              <w:t>VARCHAR(255)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密碼加鹽雜湊值</w:t>
            </w:r>
          </w:p>
        </w:tc>
      </w:tr>
      <w:tr>
        <w:tc>
          <w:tcPr>
            <w:tcW w:type="dxa" w:w="2340"/>
          </w:tcPr>
          <w:p>
            <w:r>
              <w:t>UserName</w:t>
            </w:r>
          </w:p>
        </w:tc>
        <w:tc>
          <w:tcPr>
            <w:tcW w:type="dxa" w:w="2340"/>
          </w:tcPr>
          <w:p>
            <w:r>
              <w:t>NVARCHAR(50)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員工姓名 (如 王大明)</w:t>
            </w:r>
          </w:p>
        </w:tc>
      </w:tr>
      <w:tr>
        <w:tc>
          <w:tcPr>
            <w:tcW w:type="dxa" w:w="2340"/>
          </w:tcPr>
          <w:p>
            <w:r>
              <w:t>RoleDesc</w:t>
            </w:r>
          </w:p>
        </w:tc>
        <w:tc>
          <w:tcPr>
            <w:tcW w:type="dxa" w:w="2340"/>
          </w:tcPr>
          <w:p>
            <w:r>
              <w:t>NVARCHAR(100)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角色與職稱描述 (如 信義旗艦店 - 資深銷售顧問)</w:t>
            </w:r>
          </w:p>
        </w:tc>
      </w:tr>
      <w:tr>
        <w:tc>
          <w:tcPr>
            <w:tcW w:type="dxa" w:w="2340"/>
          </w:tcPr>
          <w:p>
            <w:r>
              <w:t>StoreId</w:t>
            </w:r>
          </w:p>
        </w:tc>
        <w:tc>
          <w:tcPr>
            <w:tcW w:type="dxa" w:w="2340"/>
          </w:tcPr>
          <w:p>
            <w:r>
              <w:t>VARCHAR(20)</w:t>
            </w:r>
          </w:p>
        </w:tc>
        <w:tc>
          <w:tcPr>
            <w:tcW w:type="dxa" w:w="2340"/>
          </w:tcPr>
          <w:p>
            <w:r>
              <w:t>FK</w:t>
            </w:r>
          </w:p>
        </w:tc>
        <w:tc>
          <w:tcPr>
            <w:tcW w:type="dxa" w:w="2340"/>
          </w:tcPr>
          <w:p>
            <w:r>
              <w:t>所屬門市代號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3.2 商品檔 (Products)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商品基本資料表。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color w:val="FFFFFF"/>
              </w:rPr>
              <w:t>欄位名稱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資料型態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鍵值關係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說明說明</w:t>
            </w:r>
          </w:p>
        </w:tc>
      </w:tr>
      <w:tr>
        <w:tc>
          <w:tcPr>
            <w:tcW w:type="dxa" w:w="2340"/>
          </w:tcPr>
          <w:p>
            <w:r>
              <w:t>ProductCode</w:t>
            </w:r>
          </w:p>
        </w:tc>
        <w:tc>
          <w:tcPr>
            <w:tcW w:type="dxa" w:w="2340"/>
          </w:tcPr>
          <w:p>
            <w:r>
              <w:t>VARCHAR(50)</w:t>
            </w:r>
          </w:p>
        </w:tc>
        <w:tc>
          <w:tcPr>
            <w:tcW w:type="dxa" w:w="2340"/>
          </w:tcPr>
          <w:p>
            <w:r>
              <w:t>PK</w:t>
            </w:r>
          </w:p>
        </w:tc>
        <w:tc>
          <w:tcPr>
            <w:tcW w:type="dxa" w:w="2340"/>
          </w:tcPr>
          <w:p>
            <w:r>
              <w:t>商品型號 (如 #SH-2024001)</w:t>
            </w:r>
          </w:p>
        </w:tc>
      </w:tr>
      <w:tr>
        <w:tc>
          <w:tcPr>
            <w:tcW w:type="dxa" w:w="2340"/>
          </w:tcPr>
          <w:p>
            <w:r>
              <w:t>ProductName</w:t>
            </w:r>
          </w:p>
        </w:tc>
        <w:tc>
          <w:tcPr>
            <w:tcW w:type="dxa" w:w="2340"/>
          </w:tcPr>
          <w:p>
            <w:r>
              <w:t>NVARCHAR(100)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商品品名 (如 經典手工牛皮鞋)</w:t>
            </w:r>
          </w:p>
        </w:tc>
      </w:tr>
      <w:tr>
        <w:tc>
          <w:tcPr>
            <w:tcW w:type="dxa" w:w="2340"/>
          </w:tcPr>
          <w:p>
            <w:r>
              <w:t>Barcode</w:t>
            </w:r>
          </w:p>
        </w:tc>
        <w:tc>
          <w:tcPr>
            <w:tcW w:type="dxa" w:w="2340"/>
          </w:tcPr>
          <w:p>
            <w:r>
              <w:t>VARCHAR(50)</w:t>
            </w:r>
          </w:p>
        </w:tc>
        <w:tc>
          <w:tcPr>
            <w:tcW w:type="dxa" w:w="2340"/>
          </w:tcPr>
          <w:p>
            <w:r>
              <w:t>Unique</w:t>
            </w:r>
          </w:p>
        </w:tc>
        <w:tc>
          <w:tcPr>
            <w:tcW w:type="dxa" w:w="2340"/>
          </w:tcPr>
          <w:p>
            <w:r>
              <w:t>條碼編號 / EAN (如 4710002024001)</w:t>
            </w:r>
          </w:p>
        </w:tc>
      </w:tr>
      <w:tr>
        <w:tc>
          <w:tcPr>
            <w:tcW w:type="dxa" w:w="2340"/>
          </w:tcPr>
          <w:p>
            <w:r>
              <w:t>CategoryCode</w:t>
            </w:r>
          </w:p>
        </w:tc>
        <w:tc>
          <w:tcPr>
            <w:tcW w:type="dxa" w:w="2340"/>
          </w:tcPr>
          <w:p>
            <w:r>
              <w:t>VARCHAR(20)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商品主分類代碼 (如 102)</w:t>
            </w:r>
          </w:p>
        </w:tc>
      </w:tr>
      <w:tr>
        <w:tc>
          <w:tcPr>
            <w:tcW w:type="dxa" w:w="2340"/>
          </w:tcPr>
          <w:p>
            <w:r>
              <w:t>UnitPrice</w:t>
            </w:r>
          </w:p>
        </w:tc>
        <w:tc>
          <w:tcPr>
            <w:tcW w:type="dxa" w:w="2340"/>
          </w:tcPr>
          <w:p>
            <w:r>
              <w:t>DECIMAL(18,2)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單價 / 零售價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3.3 庫存檔 (Stocks)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門市實體倉庫之庫存紀錄。本系統條碼掃描綁定特定商品 SKU。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color w:val="FFFFFF"/>
              </w:rPr>
              <w:t>欄位名稱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資料型態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鍵值關係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說明說明</w:t>
            </w:r>
          </w:p>
        </w:tc>
      </w:tr>
      <w:tr>
        <w:tc>
          <w:tcPr>
            <w:tcW w:type="dxa" w:w="2340"/>
          </w:tcPr>
          <w:p>
            <w:r>
              <w:t>StockId</w:t>
            </w:r>
          </w:p>
        </w:tc>
        <w:tc>
          <w:tcPr>
            <w:tcW w:type="dxa" w:w="2340"/>
          </w:tcPr>
          <w:p>
            <w:r>
              <w:t>INT IDENTITY</w:t>
            </w:r>
          </w:p>
        </w:tc>
        <w:tc>
          <w:tcPr>
            <w:tcW w:type="dxa" w:w="2340"/>
          </w:tcPr>
          <w:p>
            <w:r>
              <w:t>PK</w:t>
            </w:r>
          </w:p>
        </w:tc>
        <w:tc>
          <w:tcPr>
            <w:tcW w:type="dxa" w:w="2340"/>
          </w:tcPr>
          <w:p>
            <w:r>
              <w:t>庫存流水號識別</w:t>
            </w:r>
          </w:p>
        </w:tc>
      </w:tr>
      <w:tr>
        <w:tc>
          <w:tcPr>
            <w:tcW w:type="dxa" w:w="2340"/>
          </w:tcPr>
          <w:p>
            <w:r>
              <w:t>StoreId</w:t>
            </w:r>
          </w:p>
        </w:tc>
        <w:tc>
          <w:tcPr>
            <w:tcW w:type="dxa" w:w="2340"/>
          </w:tcPr>
          <w:p>
            <w:r>
              <w:t>VARCHAR(20)</w:t>
            </w:r>
          </w:p>
        </w:tc>
        <w:tc>
          <w:tcPr>
            <w:tcW w:type="dxa" w:w="2340"/>
          </w:tcPr>
          <w:p>
            <w:r>
              <w:t>FK</w:t>
            </w:r>
          </w:p>
        </w:tc>
        <w:tc>
          <w:tcPr>
            <w:tcW w:type="dxa" w:w="2340"/>
          </w:tcPr>
          <w:p>
            <w:r>
              <w:t>門市 ID (如 總庫、信義旗艦店)</w:t>
            </w:r>
          </w:p>
        </w:tc>
      </w:tr>
      <w:tr>
        <w:tc>
          <w:tcPr>
            <w:tcW w:type="dxa" w:w="2340"/>
          </w:tcPr>
          <w:p>
            <w:r>
              <w:t>ProductCode</w:t>
            </w:r>
          </w:p>
        </w:tc>
        <w:tc>
          <w:tcPr>
            <w:tcW w:type="dxa" w:w="2340"/>
          </w:tcPr>
          <w:p>
            <w:r>
              <w:t>VARCHAR(50)</w:t>
            </w:r>
          </w:p>
        </w:tc>
        <w:tc>
          <w:tcPr>
            <w:tcW w:type="dxa" w:w="2340"/>
          </w:tcPr>
          <w:p>
            <w:r>
              <w:t>FK</w:t>
            </w:r>
          </w:p>
        </w:tc>
        <w:tc>
          <w:tcPr>
            <w:tcW w:type="dxa" w:w="2340"/>
          </w:tcPr>
          <w:p>
            <w:r>
              <w:t>商品型號</w:t>
            </w:r>
          </w:p>
        </w:tc>
      </w:tr>
      <w:tr>
        <w:tc>
          <w:tcPr>
            <w:tcW w:type="dxa" w:w="2340"/>
          </w:tcPr>
          <w:p>
            <w:r>
              <w:t>AvailableQty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可用總庫存量 (扣除被鎖定之配額)</w:t>
            </w:r>
          </w:p>
        </w:tc>
      </w:tr>
      <w:tr>
        <w:tc>
          <w:tcPr>
            <w:tcW w:type="dxa" w:w="2340"/>
          </w:tcPr>
          <w:p>
            <w:r>
              <w:t>PhysicalQty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現有實體庫存量</w:t>
            </w:r>
          </w:p>
        </w:tc>
      </w:tr>
    </w:tbl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3.4 銷售訂單檔 (Orders / OrderItems)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記錄銷售明細。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color w:val="FFFFFF"/>
              </w:rPr>
              <w:t>欄位名稱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資料型態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鍵值關係</w:t>
            </w:r>
          </w:p>
        </w:tc>
        <w:tc>
          <w:tcPr>
            <w:tcW w:type="dxa" w:w="2340"/>
            <w:shd w:fill="4F46E5"/>
          </w:tcPr>
          <w:p>
            <w:r>
              <w:rPr>
                <w:color w:val="FFFFFF"/>
              </w:rPr>
              <w:t>說明說明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VARCHAR(50)</w:t>
            </w:r>
          </w:p>
        </w:tc>
        <w:tc>
          <w:tcPr>
            <w:tcW w:type="dxa" w:w="2340"/>
          </w:tcPr>
          <w:p>
            <w:r>
              <w:t>PK</w:t>
            </w:r>
          </w:p>
        </w:tc>
        <w:tc>
          <w:tcPr>
            <w:tcW w:type="dxa" w:w="2340"/>
          </w:tcPr>
          <w:p>
            <w:r>
              <w:t>銷售單號 (如 ORD-2026070201)</w:t>
            </w:r>
          </w:p>
        </w:tc>
      </w:tr>
      <w:tr>
        <w:tc>
          <w:tcPr>
            <w:tcW w:type="dxa" w:w="2340"/>
          </w:tcPr>
          <w:p>
            <w:r>
              <w:t>CreateTime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結帳開立時間</w:t>
            </w:r>
          </w:p>
        </w:tc>
      </w:tr>
      <w:tr>
        <w:tc>
          <w:tcPr>
            <w:tcW w:type="dxa" w:w="2340"/>
          </w:tcPr>
          <w:p>
            <w:r>
              <w:t>CreatedBy</w:t>
            </w:r>
          </w:p>
        </w:tc>
        <w:tc>
          <w:tcPr>
            <w:tcW w:type="dxa" w:w="2340"/>
          </w:tcPr>
          <w:p>
            <w:r>
              <w:t>VARCHAR(50)</w:t>
            </w:r>
          </w:p>
        </w:tc>
        <w:tc>
          <w:tcPr>
            <w:tcW w:type="dxa" w:w="2340"/>
          </w:tcPr>
          <w:p>
            <w:r>
              <w:t>FK</w:t>
            </w:r>
          </w:p>
        </w:tc>
        <w:tc>
          <w:tcPr>
            <w:tcW w:type="dxa" w:w="2340"/>
          </w:tcPr>
          <w:p>
            <w:r>
              <w:t>開立之員工 ID</w:t>
            </w:r>
          </w:p>
        </w:tc>
      </w:tr>
      <w:tr>
        <w:tc>
          <w:tcPr>
            <w:tcW w:type="dxa" w:w="2340"/>
          </w:tcPr>
          <w:p>
            <w:r>
              <w:t>CustMobile</w:t>
            </w:r>
          </w:p>
        </w:tc>
        <w:tc>
          <w:tcPr>
            <w:tcW w:type="dxa" w:w="2340"/>
          </w:tcPr>
          <w:p>
            <w:r>
              <w:t>VARCHAR(20)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顧客手機號碼 (選填)</w:t>
            </w:r>
          </w:p>
        </w:tc>
      </w:tr>
      <w:tr>
        <w:tc>
          <w:tcPr>
            <w:tcW w:type="dxa" w:w="2340"/>
          </w:tcPr>
          <w:p>
            <w:r>
              <w:t>TaxId</w:t>
            </w:r>
          </w:p>
        </w:tc>
        <w:tc>
          <w:tcPr>
            <w:tcW w:type="dxa" w:w="2340"/>
          </w:tcPr>
          <w:p>
            <w:r>
              <w:t>VARCHAR(10)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顧客統一編號 (選填，8碼)</w:t>
            </w:r>
          </w:p>
        </w:tc>
      </w:tr>
      <w:tr>
        <w:tc>
          <w:tcPr>
            <w:tcW w:type="dxa" w:w="2340"/>
          </w:tcPr>
          <w:p>
            <w:r>
              <w:t>PaymentMethod</w:t>
            </w:r>
          </w:p>
        </w:tc>
        <w:tc>
          <w:tcPr>
            <w:tcW w:type="dxa" w:w="2340"/>
          </w:tcPr>
          <w:p>
            <w:r>
              <w:t>NVARCHAR(50)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支付方式 (如 現金、信用卡、LINE Pay)</w:t>
            </w:r>
          </w:p>
        </w:tc>
      </w:tr>
      <w:tr>
        <w:tc>
          <w:tcPr>
            <w:tcW w:type="dxa" w:w="2340"/>
          </w:tcPr>
          <w:p>
            <w:r>
              <w:t>Subtotal</w:t>
            </w:r>
          </w:p>
        </w:tc>
        <w:tc>
          <w:tcPr>
            <w:tcW w:type="dxa" w:w="2340"/>
          </w:tcPr>
          <w:p>
            <w:r>
              <w:t>DECIMAL(18,2)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商品未稅小計</w:t>
            </w:r>
          </w:p>
        </w:tc>
      </w:tr>
      <w:tr>
        <w:tc>
          <w:tcPr>
            <w:tcW w:type="dxa" w:w="2340"/>
          </w:tcPr>
          <w:p>
            <w:r>
              <w:t>SalesTax</w:t>
            </w:r>
          </w:p>
        </w:tc>
        <w:tc>
          <w:tcPr>
            <w:tcW w:type="dxa" w:w="2340"/>
          </w:tcPr>
          <w:p>
            <w:r>
              <w:t>DECIMAL(18,2)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5% 營業稅</w:t>
            </w:r>
          </w:p>
        </w:tc>
      </w:tr>
      <w:tr>
        <w:tc>
          <w:tcPr>
            <w:tcW w:type="dxa" w:w="2340"/>
          </w:tcPr>
          <w:p>
            <w:r>
              <w:t>TotalAmount</w:t>
            </w:r>
          </w:p>
        </w:tc>
        <w:tc>
          <w:tcPr>
            <w:tcW w:type="dxa" w:w="2340"/>
          </w:tcPr>
          <w:p>
            <w:r>
              <w:t>DECIMAL(18,2)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含稅應付總金額</w:t>
            </w:r>
          </w:p>
        </w:tc>
      </w:tr>
    </w:tbl>
    <w:p>
      <w:r>
        <w:br w:type="page"/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四、 功能模組規格說明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4.1 登入模組 (Login Screen)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使用者介面規格：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介面輸入：包含「員工編號」及「登入密碼」兩大欄位，以及「進入系統」按鈕。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鍵盤呼叫機制：因應行動裝置使用情境，移除網頁版自訂虛擬鍵盤，輸入框移除 `readonly`。當點選輸入框時，主動加上 `inputmode="numeric"` 屬性，呼叫行動裝置系統原生數字鍵盤/撥號鍵盤，提升輸入流暢性。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密碼顯隱：整合眼睛圖示，點選即可切換 `input[type="password"]` 與 `input[type="text"]`，防止密碼誤輸。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4.2 首頁與個人儀表板 (Dashboard Screen)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使用者介面規格：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頂部歡迎詞：顯示「您好，王大明」以及店員大頭貼。去除了多餘的「今日門市排班」資訊，避免小螢幕折行重疊。去除了右上角多餘的「通知鈴鐺圖示」，以精簡畫面。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個人業績看板：左方顯示「今日個人業績：NT$ 12,800 (+15%)」，右方顯示「已開立訂單：4筆 (達成率 80%)」，強化視覺資訊對比。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快捷操作：列表提供三個高對比大卡片按鈕，點擊即可分別切換至「訂單開立」、「訂單查詢」、「庫存查詢」。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4.3 庫存查詢與相機掃描 (Query &amp; Camera Scan)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本模組為現場核心流程。支援兩種模式：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手動搜尋：點擊「庫存查詢」進入商品列表頁，支援手動輸入「品號/品名/條碼編號」進行即時關鍵字模糊過濾。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相機掃描：點選搜尋框左側的 QR Code 圖示，進入全螢幕相機畫面 (`screen-inventory-scan`)。畫面中心帶有定位框與動態紅外線光學對焦輔助線，並提供一鍵切換「閃光燈」開關以應對昏暗倉庫。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掃描結果與他店庫存：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掃描成功後自動跳轉至「庫存查詢結果」(`screen-inventory-result`)。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該頁面去除了商品圖片、去除了冗餘尺寸按鈕，僅以大文字呈現商品品名（經典手工牛皮鞋）與型號，並列出該鞋盒條碼對應庫別（如 總庫）的「可用總庫存量」與「現有庫存量」。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他店庫存：提供「查詢他店庫存」按鈕，點擊跳轉至他店列表，可根據距離篩選條件（如：10km內、15km內）動態排序其他門市之即時存量，方便調貨。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4.4 訂單輸入與購物車結帳流程 (Order Input &amp; Checkout)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使用者介面規格：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購物車：在掃描結果頁面點擊「立即開立訂單」將直接將商品項目與指定尺寸（預設為 25.0 尺寸，跳過尺寸手動選擇）加入訂單暫存，並跳轉至結帳明細。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自動計稅與加總：訂單結帳頁面實行 5% 營業稅與未稅金額的自動計算加總。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結帳表單輸入：提供「顧客手機號碼」與「顧客統一編號」欄位，當用戶點選時呼叫行動裝置原生數字鍵盤。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提交訂單：點擊「提交訂單」後，向 API 發送 POST，成功後發送訂單成功提示覆蓋層 (Overlay)，顯示專屬單號，並驅動門市收據列印機制。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4.5 使用者設定與實用設置（全域大字型縮放）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使用者介面規格：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基本資料：顯示目前登入人員的姓名與職務。移除敏感資訊如員工編號與密碼欄位。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功能選單：移除冗餘的「私人設定」選單，只保留「實用設置」與「登出系統」。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字型調整控制：點選「實用設置」進入字型控制面板。提供四個高感度單選項目：標準字型 (1.0)、中字型 (1.15)、大字型 (1.3) 與最大字型 (1.45)。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最大字型預設技術：系統預設字型比例設定為 1.45 倍 (最大字型)，對文字折行與容器高度做自適應處理，避免大字型破版。</w:t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五、 後端 RESTful API 規格介面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後端 .NET Core API 實作規範如下，傳輸格式一律為 `application/json`，且需帶有 Bearer Token。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5.1 員工驗證登入 (POST /api/auth/login)</w:t>
      </w:r>
    </w:p>
    <w:p>
      <w:pPr>
        <w:spacing w:line="312" w:lineRule="auto" w:after="160"/>
      </w:pPr>
      <w:r>
        <w:rPr>
          <w:rFonts w:ascii="Microsoft JhengHei" w:hAnsi="Microsoft JhengHei"/>
          <w:b/>
        </w:rPr>
        <w:t>要求格式：</w:t>
      </w:r>
    </w:p>
    <w:p>
      <w:pPr>
        <w:spacing w:line="312" w:lineRule="auto" w:after="160"/>
        <w:ind w:left="360"/>
      </w:pPr>
      <w:r>
        <w:rPr>
          <w:rFonts w:ascii="Microsoft JhengHei" w:hAnsi="Microsoft JhengHei"/>
          <w:b w:val="0"/>
        </w:rPr>
        <w:t>{</w:t>
        <w:br/>
        <w:t xml:space="preserve">  "userId": "EM-99214",</w:t>
        <w:br/>
        <w:t xml:space="preserve">  "password": "******"</w:t>
        <w:br/>
        <w:t>}</w:t>
      </w:r>
    </w:p>
    <w:p>
      <w:pPr>
        <w:spacing w:line="312" w:lineRule="auto" w:after="160"/>
      </w:pPr>
      <w:r>
        <w:rPr>
          <w:rFonts w:ascii="Microsoft JhengHei" w:hAnsi="Microsoft JhengHei"/>
          <w:b/>
        </w:rPr>
        <w:t>回應格式：</w:t>
      </w:r>
    </w:p>
    <w:p>
      <w:pPr>
        <w:spacing w:line="312" w:lineRule="auto" w:after="160"/>
        <w:ind w:left="360"/>
      </w:pPr>
      <w:r>
        <w:rPr>
          <w:rFonts w:ascii="Microsoft JhengHei" w:hAnsi="Microsoft JhengHei"/>
          <w:b w:val="0"/>
        </w:rPr>
        <w:t>{</w:t>
        <w:br/>
        <w:t xml:space="preserve">  "token": "eyJhbGciOiJIUzI1NiIsInR5cCI6IkpXVCJ9...",</w:t>
        <w:br/>
        <w:t xml:space="preserve">  "userName": "王大明",</w:t>
        <w:br/>
        <w:t xml:space="preserve">  "roleDesc": "信義旗艦店 - 資深銷售顧問"</w:t>
        <w:br/>
        <w:t>}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5.2 商品庫存查詢 (GET /api/inventory/query)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參數：`?q=經典` (關鍵字篩選)</w:t>
      </w:r>
    </w:p>
    <w:p>
      <w:pPr>
        <w:spacing w:line="312" w:lineRule="auto" w:after="160"/>
      </w:pPr>
      <w:r>
        <w:rPr>
          <w:rFonts w:ascii="Microsoft JhengHei" w:hAnsi="Microsoft JhengHei"/>
          <w:b/>
        </w:rPr>
        <w:t>回應格式：</w:t>
      </w:r>
    </w:p>
    <w:p>
      <w:pPr>
        <w:spacing w:line="312" w:lineRule="auto" w:after="160"/>
        <w:ind w:left="360"/>
      </w:pPr>
      <w:r>
        <w:rPr>
          <w:rFonts w:ascii="Microsoft JhengHei" w:hAnsi="Microsoft JhengHei"/>
          <w:b w:val="0"/>
        </w:rPr>
        <w:t>[</w:t>
        <w:br/>
        <w:t xml:space="preserve">  {</w:t>
        <w:br/>
        <w:t xml:space="preserve">    "productCode": "#SH-2024001",</w:t>
        <w:br/>
        <w:t xml:space="preserve">    "productName": "經典手工牛皮鞋",</w:t>
        <w:br/>
        <w:t xml:space="preserve">    "barcode": "4710002024001",</w:t>
        <w:br/>
        <w:t xml:space="preserve">    "categoryCode": "102",</w:t>
        <w:br/>
        <w:t xml:space="preserve">    "availableQty": 15,</w:t>
        <w:br/>
        <w:t xml:space="preserve">    "physicalQty": 15</w:t>
        <w:br/>
        <w:t xml:space="preserve">  }</w:t>
        <w:br/>
        <w:t>]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5.3 銷售訂單提交 (POST /api/orders)</w:t>
      </w:r>
    </w:p>
    <w:p>
      <w:pPr>
        <w:spacing w:line="312" w:lineRule="auto" w:after="160"/>
      </w:pPr>
      <w:r>
        <w:rPr>
          <w:rFonts w:ascii="Microsoft JhengHei" w:hAnsi="Microsoft JhengHei"/>
          <w:b/>
        </w:rPr>
        <w:t>要求格式：</w:t>
      </w:r>
    </w:p>
    <w:p>
      <w:pPr>
        <w:spacing w:line="312" w:lineRule="auto" w:after="160"/>
        <w:ind w:left="360"/>
      </w:pPr>
      <w:r>
        <w:rPr>
          <w:rFonts w:ascii="Microsoft JhengHei" w:hAnsi="Microsoft JhengHei"/>
          <w:b w:val="0"/>
        </w:rPr>
        <w:t>{</w:t>
        <w:br/>
        <w:t xml:space="preserve">  "custMobile": "0912345678",</w:t>
        <w:br/>
        <w:t xml:space="preserve">  "taxId": "84501234",</w:t>
        <w:br/>
        <w:t xml:space="preserve">  "paymentMethod": "LinePay",</w:t>
        <w:br/>
        <w:t xml:space="preserve">  "items": [</w:t>
        <w:br/>
        <w:t xml:space="preserve">    {</w:t>
        <w:br/>
        <w:t xml:space="preserve">      "productCode": "#SH-2024001",</w:t>
        <w:br/>
        <w:t xml:space="preserve">      "qty": 1,</w:t>
        <w:br/>
        <w:t xml:space="preserve">      "unitPrice": 3200.0</w:t>
        <w:br/>
        <w:t xml:space="preserve">    }</w:t>
        <w:br/>
        <w:t xml:space="preserve">  ]</w:t>
        <w:br/>
        <w:t>}</w:t>
      </w:r>
    </w:p>
    <w:p>
      <w:pPr>
        <w:spacing w:line="312" w:lineRule="auto" w:after="160"/>
      </w:pPr>
      <w:r>
        <w:rPr>
          <w:rFonts w:ascii="Microsoft JhengHei" w:hAnsi="Microsoft JhengHei"/>
          <w:b/>
        </w:rPr>
        <w:t>回應格式：</w:t>
      </w:r>
    </w:p>
    <w:p>
      <w:pPr>
        <w:spacing w:line="312" w:lineRule="auto" w:after="160"/>
        <w:ind w:left="360"/>
      </w:pPr>
      <w:r>
        <w:rPr>
          <w:rFonts w:ascii="Microsoft JhengHei" w:hAnsi="Microsoft JhengHei"/>
          <w:b w:val="0"/>
        </w:rPr>
        <w:t>{</w:t>
        <w:br/>
        <w:t xml:space="preserve">  "success": true,</w:t>
        <w:br/>
        <w:t xml:space="preserve">  "orderId": "ORD-20260702001",</w:t>
        <w:br/>
        <w:t xml:space="preserve">  "printedReceipt": true</w:t>
        <w:br/>
        <w:t>}</w:t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六、 PWA 與高齡友善前端規範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6.1 CSS 彈性高度與字型動態縮放規範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為避免高齡友善大字型導致版面被固定高度元件裁切，所有 UI 切片必須遵循下列 CSS 排版約束：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禁止使用固定 `height` 屬性於包含文字內容的版面元素，包含：標題列、商品條目、快捷卡片、表單欄位。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所有容器高度必須以 `min-height` 作為保底，並設定 `height: auto;` 允許垂直方向無限延展。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間距設定應配合內文，使用彈性 Padding（如：`padding: 12px 16px;`），提供足夠的文字容納空間。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文字區塊必須宣告 `white-space: normal;`，禁止強制設定不換行或直接使用省略號（`text-overflow: ellipsis`）隱藏內容。</w:t>
      </w:r>
    </w:p>
    <w:p>
      <w:pPr>
        <w:pStyle w:val="Heading2"/>
        <w:keepNext/>
        <w:spacing w:before="320" w:after="120"/>
      </w:pPr>
      <w:r>
        <w:rPr>
          <w:rFonts w:ascii="Microsoft JhengHei" w:hAnsi="Microsoft JhengHei"/>
          <w:b/>
          <w:color w:val="4F46E5"/>
          <w:sz w:val="30"/>
        </w:rPr>
        <w:t>6.2 PWA 設定清單</w:t>
      </w:r>
    </w:p>
    <w:p>
      <w:pPr>
        <w:spacing w:line="312" w:lineRule="auto" w:after="160"/>
      </w:pPr>
      <w:r>
        <w:rPr>
          <w:rFonts w:ascii="Microsoft JhengHei" w:hAnsi="Microsoft JhengHei"/>
          <w:b w:val="0"/>
        </w:rPr>
        <w:t>前端必須提供 `manifest.json` 聲明。配置規格如下：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name: Orshoes 門市銷售系統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short_name: Orshoes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start_url: ./index.html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display: standalone (移除所有網頁瀏覽器上層工具列)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orientation: portrait (鎖定直向顯示)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icons: 提供 192x192 與 512x512 尺寸之 png 檔案</w:t>
      </w:r>
    </w:p>
    <w:p>
      <w:pPr>
        <w:pStyle w:val="Heading1"/>
        <w:keepNext/>
        <w:spacing w:before="480" w:after="200"/>
      </w:pPr>
      <w:r>
        <w:rPr>
          <w:rFonts w:ascii="Microsoft JhengHei" w:hAnsi="Microsoft JhengHei"/>
          <w:b/>
          <w:color w:val="1D4ED8"/>
          <w:sz w:val="40"/>
        </w:rPr>
        <w:t>七、 非功能性需求與安全性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反應速度：本地快取加持下，App 首頁秒開時間小於 0.5 秒；API 請求回應時間平均小於 200 毫秒。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安全性：後端 .NET Core 所有對外 Web API 必須實施 HTTPS 傳輸加密，並全面啟用 JWT Token 權限驗證。登入介面禁止以明文儲存密碼。</w:t>
      </w:r>
    </w:p>
    <w:p>
      <w:pPr>
        <w:pStyle w:val="ListBullet"/>
        <w:spacing w:line="288" w:lineRule="auto" w:after="80"/>
        <w:ind w:left="360"/>
      </w:pPr>
      <w:r>
        <w:rPr>
          <w:rFonts w:ascii="Microsoft JhengHei" w:hAnsi="Microsoft JhengHei"/>
        </w:rPr>
        <w:t>相容性：PWA 與動態 CSS Variables 全面適配 iOS Safari 15+、Android Chrome 90+ 之原生 WebView。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