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Adnan Moumneh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2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1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1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1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did 5 comprehensive research tasks: Here are the topics with their sub topics (main ideas):</w:t>
        <w:br/>
        <w:br/>
        <w:t>1- Impact of Technology</w:t>
        <w:br/>
        <w:t>Digital Economy Growth: Overview of the rise of e-commerce and digital platforms in Arab economies.</w:t>
        <w:br/>
        <w:t>Role of Technology in Logistics: Innovations in supply chain management and their impact on trade efficiency.</w:t>
        <w:br/>
        <w:t>Fintech Development: Examination of how financial technology can facilitate cross-border transactions and reduce</w:t>
        <w:br/>
        <w:t>costs.</w:t>
        <w:br/>
        <w:br/>
        <w:t>2- Policy Recommendations</w:t>
        <w:br/>
        <w:t>Harmonizing Regulations and Standards: Suggested frameworks for aligning trade regulations among member states.</w:t>
        <w:br/>
        <w:t>Investment in Infrastructure: Priorities for investment in transport, logistics, and digital infrastructure to support trade.</w:t>
        <w:br/>
        <w:t>Incentives for Businesses: Recommendations for tax incentives and support programs to encourage cross-border</w:t>
        <w:br/>
        <w:t>investment and trade.</w:t>
        <w:br/>
        <w:t>Strengthening Institutions: Enhancing the role of the Arab League and other regional bodies in facilitating economic</w:t>
        <w:br/>
        <w:t>cooperation.</w:t>
        <w:br/>
        <w:br/>
        <w:t>3-Future Prospects</w:t>
        <w:br/>
        <w:t>Emerging Trends in Global Trade: Predictions on how shifts in global economic power may influence Arab trade</w:t>
        <w:br/>
        <w:t>relations.</w:t>
        <w:br/>
        <w:t>Potential for New Markets: Discussion on the opportunities presented by emerging economies in Africa and Asia for</w:t>
        <w:br/>
        <w:t>Arab trade.</w:t>
        <w:br/>
        <w:br/>
        <w:t>4-Sustainable Development Goals (SDGs): Alignment of trade and economic integration efforts with the UN’s SDGs,</w:t>
        <w:br/>
        <w:t>particularly in promoting sustainable economic growth.</w:t>
        <w:br/>
        <w:br/>
        <w:t>5-Case Studies</w:t>
        <w:br/>
        <w:t>Notable Collaborations: Detailed analysis of specific successful trade agreements, including participant states and</w:t>
        <w:br/>
        <w:t>economic impacts.</w:t>
        <w:br/>
        <w:t>Sector-Specific Initiatives: Examples of collaborations in sectors like renewable energy, tourism, or education that</w:t>
        <w:br/>
        <w:t>illustrate the potential for further integration.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Adnan Momneh demonstrated strong research skills, a proactive approach, and dedication, delivering thorough and well-organized information and insights for Life Sculptor.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