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Jinane Mohammad El Dawud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1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2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As a member at the mental health research team, I’ve conducted a research about the effects of family dysfunction on mental health: how can it lead to mental health problems, the main mental health issues it causes and some factors that qualify a dysfunctional family; and another research about the link between loneliness and chronic diseases. In addition, I’ve done four outlines to present 4 workshop topics: digital marketing 2024: strategies for success, building a sustainable business: pathways to CSR excellence, AI and machine learning: shaping the future of industry, and remote work revolution: navigating the future of work.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Jinane conducted mental health research and developed 4 comprehensive workshop outlines on key topics. Impressive dedication to research and education.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