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Jonathan kachouh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worked on this research for around 5 hours, beginning with an hour reviewing literature on AI technology for the elderly, such as personal assistants and smart sensors. I then spent 30 minutes identifying critical applications, such as fall detection systems and personalized reminders. I spent another 30 minutes collecting statistics. After that, I weighed the benefits and drawbacks, focusing on improved independence and privacy concerns, which took approximately an hour. I also spent an hour researching potential research fields, such as fighting loneliness using social robots. I spent an hour synthesizing material and composing the paper.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Jonathan Kachouh’s study on AI technology for the elderly was methodical, covering essential aspects of smart assistants, fall detection, and social robotics, emphasizing improved quality of life.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