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Lama Serhal completed a total of 1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0 date) _14/10 – 18/10 (initials of supervisor) __A.K.___  </w:t>
      </w:r>
    </w:p>
    <w:p w14:paraId="0533A745" w14:textId="07B4B5BB" w:rsidR="00C208BA" w:rsidRDefault="00C208BA" w:rsidP="00C208BA">
      <w:pPr>
        <w:spacing w:after="170" w:line="267" w:lineRule="auto"/>
        <w:ind w:left="-5" w:hanging="10"/>
      </w:pPr>
      <w:r>
        <w:t xml:space="preserve">Hours # 1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br/>
        <w:t xml:space="preserve">Research Topic: Biohacking and Wearable Health Tech </w:t>
        <w:br/>
        <w:t>IX. Biohacking for Health Optimization</w:t>
        <w:br/>
        <w:t>B. Discussion on biohacking for longevity, stress management, and disease prevention</w:t>
        <w:br/>
        <w:br/>
        <w:t>X. Ethical and Legal Considerations</w:t>
        <w:br/>
        <w:t>A. Overview of ethical considerations in biohacking and wearable health tech</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Lama's research on biohacking and wearable health technology thoroughly examines health optimization strategies and addresses critical ethical and legal considerations. Her insights into longevity and stress management highlight the importance of responsible innovation in this rapidly evolving field.</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