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Leonard Marida completed a total of 5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5 date) _14/10 – 18/10 (initials of supervisor) __A.K.___  </w:t>
      </w:r>
    </w:p>
    <w:p w14:paraId="0533A745" w14:textId="07B4B5BB" w:rsidR="00C208BA" w:rsidRDefault="00C208BA" w:rsidP="00C208BA">
      <w:pPr>
        <w:spacing w:after="170" w:line="267" w:lineRule="auto"/>
        <w:ind w:left="-5" w:hanging="10"/>
      </w:pPr>
      <w:r>
        <w:t xml:space="preserve">Hours # 0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conducted research on biohacking and wearable health tech, focusing on wearable health tech in action, including hands-on demonstrations of wearable health tech devices and discussions on data tracking, analysis, and interpretation using these devices. I explored strategies for incorporating biohacking techniques into daily routines and provided tips for selecting and using wearable health tech effectively. Additionally, I examined biohacking for performance enhancement, discussing techniques for optimizing physical and cognitive performance as well as the ethics and implications of performance enhancement biohacks. The research also covered the relationship between biohacking and personalized medicine, discussing how biohacking can inform personalized health interventions with case studies and examples of personalized health approaches using biohacking techniques. Lastly, I outlined strategies for using biohacking techniques to optimize health and well-being.</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Leonard demonstrates solid research abilities and a good understanding of emerging topics like biohacking and wearable technologies. He shows a willingness to engage with complex ideas and explore their practical applications. While there is room for further development in critical thinking and communication, Leonard’s interest in cutting-edge technologies reflects a growing strategic mindset and potential for future growth.</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