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Maria Solh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0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5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did a research about Blockchain for transparent ESG reporting in Corporations where i discussed several points about this topic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Maria demonstrates solid research skills, clearly presenting her findings on blockchain for transparent ESG reporting. Her concise approach shows strong organizational and communication abilities.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