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Mariam Ahmad Rabeh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br/>
        <w:t>I conducted research on The Role of Blockchain in Authenticating Digital Art, focusing on how blockchain technology establishes ownership and provenance for digital artworks. I explored key technologies, such as non-fungible tokens (NFTs), which enable art ownership, and smart contracts, which handle licensing and royalties.</w:t>
        <w:br/>
        <w:br/>
        <w:t>My study examined various applications, including verifying the authenticity of digital creations and facilitating fractional ownership for high-value art pieces. Supporting statistics highlighted the NFT market's rapid growth of 250% from 2020 to 2023.</w:t>
        <w:br/>
        <w:br/>
        <w:t>I also analyzed the advantages of blockchain in the art world, such as automated royalty payments for artists and immutable records of ownership and transactions. However, I addressed the disadvantages, notably the environmental impact caused by blockchain technologies.</w:t>
        <w:br/>
        <w:br/>
        <w:t>In discussing challenges, I explored issues like copyright disputes in the digital landscape. Finally, I proposed directions for future research, such as developing eco-friendly blockchain solutions for the art industry and expanding NFTs to preserve cultural heritage and historical artworks.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Mariam demonstrated excellent research and critical thinking skills by exploring blockchain’s role in digital art authentication, highlighting innovative applications like NFTs and proposing eco-friendly solutions.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