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Nadine Dagher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wrote a paper about the psychological impacts of virtual influencers and discussed the:</w:t>
        <w:br/>
        <w:t>Applications:</w:t>
        <w:br/>
        <w:t>Advertising campaigns led by virtual influencers.</w:t>
        <w:br/>
        <w:t>Virtual celebrities driving brand engagement.</w:t>
        <w:br/>
        <w:t>Statistics</w:t>
        <w:br/>
        <w:t>: Rising popularity of virtual influencers, with a 50% growth in audience engagement compared to traditional influencers.</w:t>
        <w:br/>
        <w:br/>
        <w:t>Advantages:</w:t>
        <w:br/>
        <w:t>Creative flexibility for brands.</w:t>
        <w:br/>
        <w:t>Disadvantages:</w:t>
        <w:br/>
        <w:t>Ethical concerns regarding audience manipulation.</w:t>
        <w:br/>
        <w:t>Challenges:</w:t>
        <w:br/>
        <w:t>Balancing transparency in virtual influencer marketing.</w:t>
        <w:br/>
        <w:br/>
        <w:t>Future Research:</w:t>
        <w:br/>
        <w:t>Exploring long-term psychological effects on younger audiences.</w:t>
        <w:br/>
        <w:t>AI for detecting and regulating harmful content from virtual influencers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Nadine Dagher’s paper on the psychological impacts of virtual influencers demonstrated strong research and analytical skills. However, her volunteering form was submitted late. This delay is unacceptable, as timely submissions are essential for the smooth operation of the program. It is expected that all future forms will be submitted by the deadline.</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