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Sary Jabre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have conducted a research on the topic of Ai in Personalized Virtual Shopping Experience, where I searched for the pros and cons of Ai in this domain, what challenges are being faced, how is this being applied nowadays, and what to expect as future research regarding this topic so that we try to eliminate the disadvantages and focus on ensuring the beneficial process of Ai in this field.</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Sary Jabre’s research on AI in personalized virtual shopping experiences provided valuable insights into the evolving landscape of online retail. His comprehensive analysis of AI’s advantages, disadvantages, and future potential reflects a strong understanding of consumer behavior and technological advancements.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