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11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t>|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CHAR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("char",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(byte)56);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C9762C" w:rsidRDefault="00C9762C" w:rsidP="00C9762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C9762C" w:rsidRPr="00C9762C" w:rsidRDefault="00C9762C" w:rsidP="00C9762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</w:t>
      </w:r>
      <w:r w:rsidR="000D1B6F">
        <w:rPr>
          <w:color w:val="0070C0"/>
        </w:rPr>
        <w:t>void</w:t>
      </w:r>
      <w:r w:rsidRPr="00C9762C">
        <w:rPr>
          <w:color w:val="0070C0"/>
        </w:rPr>
        <w:t xml:space="preserve"> </w:t>
      </w:r>
      <w:r w:rsidR="000D1B6F">
        <w:rPr>
          <w:color w:val="0070C0"/>
        </w:rPr>
        <w:t xml:space="preserve">Collection( String </w:t>
      </w:r>
      <w:proofErr w:type="spellStart"/>
      <w:r w:rsidR="000D1B6F">
        <w:rPr>
          <w:color w:val="0070C0"/>
        </w:rPr>
        <w:t>collectionName</w:t>
      </w:r>
      <w:proofErr w:type="spellEnd"/>
      <w:r w:rsidR="000D1B6F">
        <w:rPr>
          <w:color w:val="0070C0"/>
        </w:rPr>
        <w:t xml:space="preserve"> );</w:t>
      </w:r>
    </w:p>
    <w:p w:rsidR="00C9762C" w:rsidRDefault="00C9762C" w:rsidP="00C9762C">
      <w:r>
        <w:t xml:space="preserve">This </w:t>
      </w:r>
      <w:r w:rsidR="000D1B6F">
        <w:t>s</w:t>
      </w:r>
      <w:r>
        <w:t xml:space="preserve">etter method </w:t>
      </w:r>
      <w:r w:rsidR="000D1B6F">
        <w:t>sets the name of the collection for which the schema is applied to.</w:t>
      </w:r>
    </w:p>
    <w:p w:rsidR="00C9762C" w:rsidRPr="00C9762C" w:rsidRDefault="000D1B6F" w:rsidP="00C9762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>();</w:t>
      </w:r>
    </w:p>
    <w:p w:rsidR="00DE4003" w:rsidRDefault="00C9762C" w:rsidP="00DE4003">
      <w:r>
        <w:t xml:space="preserve">This getter method returns the </w:t>
      </w:r>
      <w:r w:rsidR="000D1B6F">
        <w:t>name of the collection that the schema was applied to.</w:t>
      </w:r>
      <w:r w:rsidR="00DE4003">
        <w:tab/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0D1B6F">
        <w:rPr>
          <w:color w:val="0070C0"/>
        </w:rPr>
        <w:t xml:space="preserve">void </w:t>
      </w:r>
      <w:proofErr w:type="spellStart"/>
      <w:r w:rsidR="000D1B6F">
        <w:rPr>
          <w:color w:val="0070C0"/>
        </w:rPr>
        <w:t>SetS</w:t>
      </w:r>
      <w:proofErr w:type="spellEnd"/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&lt;Pair&lt;</w:t>
      </w:r>
      <w:proofErr w:type="spellStart"/>
      <w:r w:rsidR="000D1B6F">
        <w:rPr>
          <w:color w:val="0070C0"/>
        </w:rPr>
        <w:t>String,String</w:t>
      </w:r>
      <w:proofErr w:type="spellEnd"/>
      <w:r w:rsidR="000D1B6F">
        <w:rPr>
          <w:color w:val="0070C0"/>
        </w:rPr>
        <w:t xml:space="preserve">&gt;&gt;)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 is in represented as a string name of the data type.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string name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</w:p>
    <w:p w:rsidR="00893EEE" w:rsidRDefault="00893EEE" w:rsidP="00893EEE"/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893EEE" w:rsidRDefault="00893EEE" w:rsidP="00893EEE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  <w:bookmarkStart w:id="0" w:name="_GoBack"/>
      <w:bookmarkEnd w:id="0"/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class:</w:t>
      </w:r>
    </w:p>
    <w:p w:rsidR="000834AC" w:rsidRDefault="000834AC" w:rsidP="000834AC">
      <w:pPr>
        <w:pStyle w:val="Heading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</w:pPr>
      <w:proofErr w:type="gram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private</w:t>
      </w:r>
      <w:proofErr w:type="gram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    </w:t>
      </w:r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String 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 xml:space="preserve">    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col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lectionName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;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>// collection name</w:t>
      </w:r>
    </w:p>
    <w:p w:rsidR="000834AC" w:rsidRDefault="000834AC" w:rsidP="000834AC">
      <w:pPr>
        <w:pStyle w:val="Heading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>This field</w:t>
      </w:r>
      <w:r w:rsidRPr="000834AC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is the name of the collection that the schema is set to.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br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br/>
      </w:r>
      <w:proofErr w:type="gram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protected</w:t>
      </w:r>
      <w:proofErr w:type="gram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ArrayList</w:t>
      </w:r>
      <w:proofErr w:type="spell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&lt;Pair&lt;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String,Integer</w:t>
      </w:r>
      <w:proofErr w:type="spell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&gt;&gt; keys;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0834AC">
        <w:rPr>
          <w:color w:val="0070C0"/>
        </w:rPr>
        <w:t xml:space="preserve">( String </w:t>
      </w:r>
      <w:proofErr w:type="spellStart"/>
      <w:r w:rsidR="000834AC">
        <w:rPr>
          <w:color w:val="0070C0"/>
        </w:rPr>
        <w:t>collectionName</w:t>
      </w:r>
      <w:proofErr w:type="spellEnd"/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r>
        <w:rPr>
          <w:color w:val="000000" w:themeColor="text1"/>
        </w:rPr>
        <w:t>This constructor instantiates the schema object and sets the name of the associated collection.</w:t>
      </w:r>
    </w:p>
    <w:p w:rsidR="000834AC" w:rsidRDefault="000834AC" w:rsidP="000834A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0834AC" w:rsidRPr="00C9762C" w:rsidRDefault="000834AC" w:rsidP="000834A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</w:t>
      </w:r>
      <w:r>
        <w:rPr>
          <w:color w:val="0070C0"/>
        </w:rPr>
        <w:t>void</w:t>
      </w:r>
      <w:r w:rsidRPr="00C9762C">
        <w:rPr>
          <w:color w:val="0070C0"/>
        </w:rPr>
        <w:t xml:space="preserve"> </w:t>
      </w:r>
      <w:r>
        <w:rPr>
          <w:color w:val="0070C0"/>
        </w:rPr>
        <w:t xml:space="preserve">Collection(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 xml:space="preserve"> );</w:t>
      </w:r>
    </w:p>
    <w:p w:rsidR="000834AC" w:rsidRDefault="000834AC" w:rsidP="000834AC">
      <w:r>
        <w:t>This setter method sets the name of the collection for which the schema is applied to.</w:t>
      </w:r>
    </w:p>
    <w:p w:rsidR="000834AC" w:rsidRPr="00C9762C" w:rsidRDefault="000834AC" w:rsidP="000834A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>();</w:t>
      </w:r>
    </w:p>
    <w:p w:rsidR="000834AC" w:rsidRDefault="000834AC" w:rsidP="000834AC">
      <w:r>
        <w:t>This getter method returns the name of the collection that the schema was applied to.</w:t>
      </w:r>
      <w:r>
        <w:tab/>
      </w:r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lastRenderedPageBreak/>
        <w:t>This method sets a schema for a collection, where the data type is in represented as a string name of the data type.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string name of the data type.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C4C49"/>
    <w:rsid w:val="00DD035C"/>
    <w:rsid w:val="00DE4003"/>
    <w:rsid w:val="00E07B59"/>
    <w:rsid w:val="00E112F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92</cp:revision>
  <dcterms:created xsi:type="dcterms:W3CDTF">2016-10-28T15:48:00Z</dcterms:created>
  <dcterms:modified xsi:type="dcterms:W3CDTF">2016-11-14T19:04:00Z</dcterms:modified>
</cp:coreProperties>
</file>