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FCE6F" w14:textId="29D9AAD0" w:rsidR="00097313" w:rsidRDefault="00097313" w:rsidP="00097313">
      <w:pPr>
        <w:jc w:val="center"/>
        <w:rPr>
          <w:sz w:val="28"/>
        </w:rPr>
      </w:pPr>
      <w:r w:rsidRPr="0011545C">
        <w:rPr>
          <w:sz w:val="28"/>
        </w:rPr>
        <w:t xml:space="preserve">Allele </w:t>
      </w:r>
      <w:proofErr w:type="spellStart"/>
      <w:r w:rsidRPr="0011545C">
        <w:rPr>
          <w:sz w:val="28"/>
        </w:rPr>
        <w:t>Phaser</w:t>
      </w:r>
      <w:proofErr w:type="spellEnd"/>
      <w:r w:rsidRPr="0011545C">
        <w:rPr>
          <w:sz w:val="28"/>
        </w:rPr>
        <w:t xml:space="preserve"> Methods</w:t>
      </w:r>
    </w:p>
    <w:p w14:paraId="0EB735AD" w14:textId="77777777" w:rsidR="0011545C" w:rsidRPr="0011545C" w:rsidRDefault="0011545C" w:rsidP="00097313">
      <w:pPr>
        <w:jc w:val="center"/>
        <w:rPr>
          <w:sz w:val="28"/>
        </w:rPr>
      </w:pPr>
    </w:p>
    <w:p w14:paraId="412D40C6" w14:textId="7ACDF884" w:rsidR="002E3A6A" w:rsidRDefault="00143C18">
      <w:r>
        <w:t>The a</w:t>
      </w:r>
      <w:r w:rsidR="004F0D34">
        <w:t xml:space="preserve">llele </w:t>
      </w:r>
      <w:proofErr w:type="spellStart"/>
      <w:r w:rsidR="004F0D34">
        <w:t>phaser</w:t>
      </w:r>
      <w:proofErr w:type="spellEnd"/>
      <w:r w:rsidR="004F0D34">
        <w:t xml:space="preserve"> determines for each locus, the alleles that </w:t>
      </w:r>
      <w:r>
        <w:t xml:space="preserve">are </w:t>
      </w:r>
      <w:r w:rsidR="00D57265">
        <w:t>statistically</w:t>
      </w:r>
      <w:r>
        <w:t xml:space="preserve"> supported by the </w:t>
      </w:r>
      <w:r w:rsidR="004F0D34">
        <w:t xml:space="preserve">assembled </w:t>
      </w:r>
      <w:r>
        <w:t>reads. Because the determination is made</w:t>
      </w:r>
      <w:r w:rsidR="002E3A6A">
        <w:t xml:space="preserve"> for each</w:t>
      </w:r>
      <w:r>
        <w:t xml:space="preserve"> individual separately, n</w:t>
      </w:r>
      <w:r w:rsidR="002E3A6A">
        <w:t xml:space="preserve">o population assumptions </w:t>
      </w:r>
      <w:r>
        <w:t xml:space="preserve">are </w:t>
      </w:r>
      <w:r w:rsidR="002E3A6A">
        <w:t>required (e.g. Hardy Weinberg).</w:t>
      </w:r>
      <w:r>
        <w:t xml:space="preserve"> Phasing is made possible by reads (and read pairs) that overlap with </w:t>
      </w:r>
      <w:r w:rsidR="00D57265">
        <w:t xml:space="preserve">two or more </w:t>
      </w:r>
      <w:r>
        <w:t>polymorphic sites.</w:t>
      </w:r>
      <w:r w:rsidR="004F0D34">
        <w:t xml:space="preserve"> The following steps are taken:</w:t>
      </w:r>
    </w:p>
    <w:p w14:paraId="001AD043" w14:textId="77777777" w:rsidR="002E3A6A" w:rsidRDefault="002E3A6A"/>
    <w:p w14:paraId="150DE4B3" w14:textId="2F1DB245" w:rsidR="00ED4855" w:rsidRDefault="00ED4855">
      <w:r>
        <w:t xml:space="preserve">1) Identify </w:t>
      </w:r>
      <w:r w:rsidR="004F0D34">
        <w:t xml:space="preserve">the </w:t>
      </w:r>
      <w:r>
        <w:t xml:space="preserve">polymorphic sites in </w:t>
      </w:r>
      <w:r w:rsidR="004F0D34">
        <w:t xml:space="preserve">the </w:t>
      </w:r>
      <w:r>
        <w:t>assembly</w:t>
      </w:r>
      <w:r w:rsidR="004F0D34">
        <w:t xml:space="preserve"> for a given locus. </w:t>
      </w:r>
    </w:p>
    <w:p w14:paraId="510B6704" w14:textId="214CC0AF" w:rsidR="00ED4855" w:rsidRDefault="00ED4855">
      <w:r>
        <w:tab/>
      </w:r>
    </w:p>
    <w:p w14:paraId="54BDECE6" w14:textId="3D3FEAF5" w:rsidR="00ED4855" w:rsidRDefault="00ED4855">
      <w:r>
        <w:t>2) Note</w:t>
      </w:r>
      <w:r w:rsidR="004F0D34">
        <w:t xml:space="preserve"> the</w:t>
      </w:r>
      <w:r>
        <w:t xml:space="preserve"> base calls for reads overlapping with </w:t>
      </w:r>
      <w:r w:rsidR="004F0D34">
        <w:t xml:space="preserve">each </w:t>
      </w:r>
      <w:r>
        <w:t>polymorphic</w:t>
      </w:r>
      <w:r w:rsidR="004F0D34">
        <w:t xml:space="preserve"> site.</w:t>
      </w:r>
    </w:p>
    <w:p w14:paraId="6B0608A3" w14:textId="77777777" w:rsidR="00ED4855" w:rsidRDefault="00ED4855"/>
    <w:p w14:paraId="74FE6FDD" w14:textId="39C9D38D" w:rsidR="00ED4855" w:rsidRDefault="00ED4855">
      <w:r>
        <w:t xml:space="preserve">3) </w:t>
      </w:r>
      <w:r w:rsidR="002E3A6A">
        <w:t>Load</w:t>
      </w:r>
      <w:r w:rsidR="004F0D34">
        <w:t xml:space="preserve"> information from the assembled </w:t>
      </w:r>
      <w:r w:rsidR="002E3A6A">
        <w:t>reads</w:t>
      </w:r>
      <w:r w:rsidR="004F0D34">
        <w:t xml:space="preserve"> into a linked list</w:t>
      </w:r>
      <w:r w:rsidR="002E3A6A">
        <w:t xml:space="preserve">, storing </w:t>
      </w:r>
      <w:r w:rsidR="004F0D34">
        <w:t xml:space="preserve">only </w:t>
      </w:r>
      <w:r w:rsidR="002E3A6A">
        <w:t>base calls and positions of polymorphic sites</w:t>
      </w:r>
      <w:r w:rsidR="004F0D34">
        <w:t xml:space="preserve"> (the monomorphic sites are added back in below). The positions correspond to the position in the consensus sequence generated from the assembly.</w:t>
      </w:r>
    </w:p>
    <w:p w14:paraId="7AC0D2BE" w14:textId="77777777" w:rsidR="002E3A6A" w:rsidRDefault="002E3A6A"/>
    <w:p w14:paraId="0B23DE7A" w14:textId="40165880" w:rsidR="002E3A6A" w:rsidRDefault="002E3A6A">
      <w:r>
        <w:t xml:space="preserve">4) Identify </w:t>
      </w:r>
      <w:r w:rsidR="004F0D34">
        <w:t xml:space="preserve">the paired reads </w:t>
      </w:r>
      <w:r>
        <w:t xml:space="preserve">and collapse them into a single node </w:t>
      </w:r>
      <w:r w:rsidR="004F0D34">
        <w:t>in the linked list.</w:t>
      </w:r>
    </w:p>
    <w:p w14:paraId="37B8116A" w14:textId="77777777" w:rsidR="00C93BAA" w:rsidRDefault="00C93BAA"/>
    <w:p w14:paraId="2D203FC6" w14:textId="4AC3DD62" w:rsidR="00725A9D" w:rsidRDefault="00C93BAA">
      <w:r>
        <w:t>5</w:t>
      </w:r>
      <w:r w:rsidR="000539E6">
        <w:t xml:space="preserve">) </w:t>
      </w:r>
      <w:r w:rsidR="00725A9D">
        <w:t xml:space="preserve">Construct alleles containing only the polymorphic sites and initialize the alleles by drawing bases </w:t>
      </w:r>
      <w:r w:rsidR="00C42008">
        <w:t xml:space="preserve">from a </w:t>
      </w:r>
      <w:r w:rsidR="00725A9D">
        <w:t>uniform prior.</w:t>
      </w:r>
    </w:p>
    <w:p w14:paraId="493B64CC" w14:textId="77777777" w:rsidR="00725A9D" w:rsidRDefault="00725A9D"/>
    <w:p w14:paraId="7522744A" w14:textId="41CBEEF7" w:rsidR="00C93BAA" w:rsidRDefault="00725A9D" w:rsidP="00C93BAA">
      <w:r>
        <w:t>6</w:t>
      </w:r>
      <w:r w:rsidR="00C93BAA">
        <w:t xml:space="preserve">) Estimate the </w:t>
      </w:r>
      <w:r w:rsidR="00C42008">
        <w:t>Bayesia</w:t>
      </w:r>
      <w:r w:rsidR="004F0D34">
        <w:t>n p</w:t>
      </w:r>
      <w:r w:rsidR="00C93BAA">
        <w:t>osterior distribution of alleles sets by Markov-C</w:t>
      </w:r>
      <w:r w:rsidR="00C42008">
        <w:t xml:space="preserve">hain Monte Carlo (MCMC). Repeat steps </w:t>
      </w:r>
      <w:r>
        <w:t>7</w:t>
      </w:r>
      <w:r w:rsidR="00854895">
        <w:t xml:space="preserve"> thru</w:t>
      </w:r>
      <w:r w:rsidR="00C93BAA">
        <w:t xml:space="preserve"> </w:t>
      </w:r>
      <w:r>
        <w:t>10</w:t>
      </w:r>
      <w:r w:rsidR="00C93BAA">
        <w:t xml:space="preserve"> below </w:t>
      </w:r>
      <w:proofErr w:type="spellStart"/>
      <w:r w:rsidR="00C93BAA">
        <w:t>nGens</w:t>
      </w:r>
      <w:proofErr w:type="spellEnd"/>
      <w:r w:rsidR="00C93BAA">
        <w:t xml:space="preserve"> times, </w:t>
      </w:r>
      <w:r w:rsidR="00C42008">
        <w:t>taking</w:t>
      </w:r>
      <w:r w:rsidR="00C93BAA">
        <w:t xml:space="preserve"> samples every 100 generations, starting with generation </w:t>
      </w:r>
      <w:proofErr w:type="spellStart"/>
      <w:r w:rsidR="00C93BAA">
        <w:t>nGens</w:t>
      </w:r>
      <w:proofErr w:type="spellEnd"/>
      <w:r w:rsidR="00C93BAA">
        <w:t>/2 (50% of generations removed as burn-in).</w:t>
      </w:r>
    </w:p>
    <w:p w14:paraId="308EE636" w14:textId="77777777" w:rsidR="00C93BAA" w:rsidRDefault="00C93BAA"/>
    <w:p w14:paraId="7E6E7302" w14:textId="25833715" w:rsidR="00656D00" w:rsidRDefault="00725A9D">
      <w:r>
        <w:t>7</w:t>
      </w:r>
      <w:r w:rsidR="00656D00">
        <w:t xml:space="preserve">) Propose a change to the allelic states by </w:t>
      </w:r>
      <w:r w:rsidR="00774A05">
        <w:t xml:space="preserve">either a recombination move or a mutation move. The recombination move (chosen </w:t>
      </w:r>
      <w:proofErr w:type="spellStart"/>
      <w:r w:rsidR="00774A05">
        <w:t>probSwap</w:t>
      </w:r>
      <w:proofErr w:type="spellEnd"/>
      <w:r w:rsidR="00774A05">
        <w:t xml:space="preserve"> proportion of the time), involves randomly choo</w:t>
      </w:r>
      <w:bookmarkStart w:id="0" w:name="_GoBack"/>
      <w:bookmarkEnd w:id="0"/>
      <w:r w:rsidR="00774A05">
        <w:t xml:space="preserve">sing two alleles, and exchanging the bases (between the alleles) found after a randomly chosen position within the reads. The mutation move (chosen 1-probSwap portion of the time), involves </w:t>
      </w:r>
      <w:r w:rsidR="00656D00">
        <w:t xml:space="preserve">randomly drawing from a uniform prior a new base for a randomly chosen base position for a </w:t>
      </w:r>
      <w:r w:rsidR="00774A05">
        <w:t>randomly chosen</w:t>
      </w:r>
      <w:r w:rsidR="00656D00">
        <w:t xml:space="preserve"> allele</w:t>
      </w:r>
      <w:r w:rsidR="00774A05">
        <w:t>.</w:t>
      </w:r>
    </w:p>
    <w:p w14:paraId="49B6A1EA" w14:textId="77777777" w:rsidR="00656D00" w:rsidRDefault="00656D00"/>
    <w:p w14:paraId="29FE7BB7" w14:textId="27F7527B" w:rsidR="00004D96" w:rsidRDefault="00725A9D">
      <w:r>
        <w:t>8</w:t>
      </w:r>
      <w:r w:rsidR="000539E6">
        <w:t xml:space="preserve">) Compute </w:t>
      </w:r>
      <w:r w:rsidR="00E1338C">
        <w:t>the log likelihood of obser</w:t>
      </w:r>
      <w:r w:rsidR="00C93BAA">
        <w:t xml:space="preserve">ving the reads given the </w:t>
      </w:r>
      <w:r w:rsidR="00656D00">
        <w:t xml:space="preserve">allelic states of the current generation, </w:t>
      </w:r>
      <w:proofErr w:type="spellStart"/>
      <w:r w:rsidR="00656D00">
        <w:t>i</w:t>
      </w:r>
      <w:proofErr w:type="spellEnd"/>
      <w:r w:rsidR="00C93BAA">
        <w:t>,</w:t>
      </w:r>
    </w:p>
    <w:p w14:paraId="26AFEDA2" w14:textId="77777777" w:rsidR="00E1338C" w:rsidRDefault="00E1338C"/>
    <w:p w14:paraId="2EE4DA18" w14:textId="7BC544F8" w:rsidR="000539E6" w:rsidRPr="00E1338C" w:rsidRDefault="00CD23B2">
      <m:oMathPara>
        <m:oMath>
          <m:r>
            <w:rPr>
              <w:rFonts w:ascii="Cambria Math" w:hAnsi="Cambria Math"/>
            </w:rPr>
            <m:t xml:space="preserve">lnL(D)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r∈R</m:t>
              </m:r>
            </m:sub>
            <m:sup/>
            <m:e>
              <m:r>
                <w:rPr>
                  <w:rFonts w:ascii="Cambria Math" w:hAnsi="Cambria Math"/>
                </w:rPr>
                <m:t>lnL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nary>
        </m:oMath>
      </m:oMathPara>
    </w:p>
    <w:p w14:paraId="263C9E30" w14:textId="7CB6D60D" w:rsidR="00E1338C" w:rsidRPr="00004D96" w:rsidRDefault="00C93BAA">
      <w:r>
        <w:t xml:space="preserve">, </w:t>
      </w:r>
      <w:proofErr w:type="gramStart"/>
      <w:r>
        <w:t>where</w:t>
      </w:r>
      <w:proofErr w:type="gramEnd"/>
    </w:p>
    <w:p w14:paraId="29988715" w14:textId="4A991FFA" w:rsidR="00004D96" w:rsidRPr="00E1338C" w:rsidRDefault="00004D96">
      <m:oMathPara>
        <m:oMath>
          <m:r>
            <w:rPr>
              <w:rFonts w:ascii="Cambria Math" w:hAnsi="Cambria Math"/>
              <w:highlight w:val="yellow"/>
            </w:rPr>
            <m:t>lnL(r) = ln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a∈A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r|a</m:t>
                      </m:r>
                    </m:e>
                  </m:d>
                </m:e>
              </m:nary>
            </m:e>
          </m:d>
        </m:oMath>
      </m:oMathPara>
    </w:p>
    <w:p w14:paraId="56CC6ED7" w14:textId="0D3E9D5F" w:rsidR="00E1338C" w:rsidRPr="00E1338C" w:rsidRDefault="00C93BAA">
      <w:r>
        <w:t xml:space="preserve">, </w:t>
      </w:r>
      <w:proofErr w:type="gramStart"/>
      <w:r>
        <w:t>where</w:t>
      </w:r>
      <w:proofErr w:type="gramEnd"/>
    </w:p>
    <w:p w14:paraId="60488F81" w14:textId="50A3E016" w:rsidR="00E1338C" w:rsidRPr="00C93BAA" w:rsidRDefault="00E1338C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r|a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s∈S</m:t>
              </m:r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,M)</m:t>
              </m:r>
            </m:e>
          </m:nary>
        </m:oMath>
      </m:oMathPara>
    </w:p>
    <w:p w14:paraId="592B5883" w14:textId="77777777" w:rsidR="00C93BAA" w:rsidRDefault="00C93BAA"/>
    <w:p w14:paraId="6EEF7FB7" w14:textId="1DC76AE5" w:rsidR="00C93BAA" w:rsidRDefault="00C93BAA">
      <w:r>
        <w:t xml:space="preserve">, </w:t>
      </w:r>
      <w:proofErr w:type="gramStart"/>
      <w:r>
        <w:t>where</w:t>
      </w:r>
      <w:proofErr w:type="gramEnd"/>
      <w:r>
        <w:t xml:space="preserve"> </w:t>
      </w:r>
      <w:r w:rsidR="00725A9D" w:rsidRPr="00725A9D">
        <w:rPr>
          <w:i/>
        </w:rPr>
        <w:t>R</w:t>
      </w:r>
      <w:r>
        <w:t xml:space="preserve"> is the set of observed reads, </w:t>
      </w:r>
      <w:r w:rsidRPr="00725A9D">
        <w:rPr>
          <w:i/>
        </w:rPr>
        <w:t>A</w:t>
      </w:r>
      <w:r>
        <w:t xml:space="preserve"> is the set of currently assumed alleles, </w:t>
      </w:r>
      <w:r w:rsidRPr="00332814">
        <w:rPr>
          <w:i/>
        </w:rPr>
        <w:t>S</w:t>
      </w:r>
      <w:r>
        <w:t xml:space="preserve"> is the set of polymorphic sites </w:t>
      </w:r>
      <w:r w:rsidR="00332814">
        <w:t>for which</w:t>
      </w:r>
      <w:r>
        <w:t xml:space="preserve"> </w:t>
      </w:r>
      <w:r w:rsidRPr="00C93BAA">
        <w:rPr>
          <w:i/>
        </w:rPr>
        <w:t>r</w:t>
      </w:r>
      <w:r w:rsidR="00332814" w:rsidRPr="00332814">
        <w:t xml:space="preserve"> overlaps</w:t>
      </w:r>
      <w:r>
        <w:t xml:space="preserve">, and </w:t>
      </w:r>
      <w:r w:rsidRPr="00332814">
        <w:rPr>
          <w:i/>
        </w:rPr>
        <w:t>M</w:t>
      </w:r>
      <w:r>
        <w:t xml:space="preserve"> is a user-specified </w:t>
      </w:r>
      <w:r w:rsidR="00332814">
        <w:t xml:space="preserve">4x4 </w:t>
      </w:r>
      <w:r>
        <w:t xml:space="preserve">matrix containing the assumed probabilities of sequencing error. </w:t>
      </w:r>
      <w:r w:rsidR="00143C18">
        <w:t xml:space="preserve"> The following matrix</w:t>
      </w:r>
      <w:r w:rsidR="00A43FE9">
        <w:t>, which corresponds to a 0.75% sequencing error,</w:t>
      </w:r>
      <w:r w:rsidR="00143C18">
        <w:t xml:space="preserve"> is assumed by default:</w:t>
      </w:r>
    </w:p>
    <w:p w14:paraId="1EF8EE06" w14:textId="77777777" w:rsidR="00854895" w:rsidRDefault="0085489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849"/>
        <w:gridCol w:w="951"/>
        <w:gridCol w:w="930"/>
        <w:gridCol w:w="990"/>
        <w:gridCol w:w="960"/>
      </w:tblGrid>
      <w:tr w:rsidR="00143C18" w14:paraId="3BB8C0CE" w14:textId="77777777" w:rsidTr="00143C1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34E0209" w14:textId="77777777" w:rsidR="00143C18" w:rsidRDefault="00143C18"/>
        </w:tc>
        <w:tc>
          <w:tcPr>
            <w:tcW w:w="8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B10AA1" w14:textId="77777777" w:rsidR="00143C18" w:rsidRDefault="00143C18"/>
        </w:tc>
        <w:tc>
          <w:tcPr>
            <w:tcW w:w="3831" w:type="dxa"/>
            <w:gridSpan w:val="4"/>
            <w:tcBorders>
              <w:left w:val="single" w:sz="4" w:space="0" w:color="auto"/>
            </w:tcBorders>
          </w:tcPr>
          <w:p w14:paraId="47379E17" w14:textId="37AC0CC2" w:rsidR="00143C18" w:rsidRDefault="00143C18" w:rsidP="00143C18">
            <w:pPr>
              <w:jc w:val="center"/>
            </w:pPr>
            <w:r>
              <w:t>True Base</w:t>
            </w:r>
          </w:p>
        </w:tc>
      </w:tr>
      <w:tr w:rsidR="00143C18" w14:paraId="41FB279C" w14:textId="77777777" w:rsidTr="00143C18"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4DE72" w14:textId="77777777" w:rsidR="00143C18" w:rsidRDefault="00143C18"/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3ADDFE" w14:textId="54159D6A" w:rsidR="00143C18" w:rsidRDefault="00143C18"/>
        </w:tc>
        <w:tc>
          <w:tcPr>
            <w:tcW w:w="951" w:type="dxa"/>
            <w:tcBorders>
              <w:left w:val="single" w:sz="4" w:space="0" w:color="auto"/>
            </w:tcBorders>
          </w:tcPr>
          <w:p w14:paraId="49FC867A" w14:textId="5A462C42" w:rsidR="00143C18" w:rsidRDefault="00143C18" w:rsidP="00143C18">
            <w:pPr>
              <w:jc w:val="center"/>
            </w:pPr>
            <w:r>
              <w:t>A</w:t>
            </w:r>
          </w:p>
        </w:tc>
        <w:tc>
          <w:tcPr>
            <w:tcW w:w="930" w:type="dxa"/>
          </w:tcPr>
          <w:p w14:paraId="77BFD759" w14:textId="511CD7C9" w:rsidR="00143C18" w:rsidRDefault="00143C18" w:rsidP="00143C18">
            <w:pPr>
              <w:jc w:val="center"/>
            </w:pPr>
            <w:r>
              <w:t>T</w:t>
            </w:r>
          </w:p>
        </w:tc>
        <w:tc>
          <w:tcPr>
            <w:tcW w:w="990" w:type="dxa"/>
          </w:tcPr>
          <w:p w14:paraId="15B57A27" w14:textId="5A8F24DE" w:rsidR="00143C18" w:rsidRDefault="00143C18" w:rsidP="00143C18">
            <w:pPr>
              <w:jc w:val="center"/>
            </w:pPr>
            <w:r>
              <w:t>C</w:t>
            </w:r>
          </w:p>
        </w:tc>
        <w:tc>
          <w:tcPr>
            <w:tcW w:w="960" w:type="dxa"/>
          </w:tcPr>
          <w:p w14:paraId="6E1BF7B7" w14:textId="4086333D" w:rsidR="00143C18" w:rsidRDefault="00143C18" w:rsidP="00143C18">
            <w:pPr>
              <w:jc w:val="center"/>
            </w:pPr>
            <w:r>
              <w:t>G</w:t>
            </w:r>
          </w:p>
        </w:tc>
      </w:tr>
      <w:tr w:rsidR="00143C18" w14:paraId="6A9E7AA0" w14:textId="77777777" w:rsidTr="00143C18">
        <w:tc>
          <w:tcPr>
            <w:tcW w:w="1728" w:type="dxa"/>
            <w:vMerge w:val="restart"/>
            <w:tcBorders>
              <w:top w:val="single" w:sz="4" w:space="0" w:color="auto"/>
            </w:tcBorders>
            <w:vAlign w:val="center"/>
          </w:tcPr>
          <w:p w14:paraId="5611C620" w14:textId="2CD971BC" w:rsidR="00143C18" w:rsidRDefault="00143C18" w:rsidP="00143C18">
            <w:pPr>
              <w:jc w:val="center"/>
            </w:pPr>
            <w:r>
              <w:t>Sequenced Base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14:paraId="5113D588" w14:textId="5916ADAE" w:rsidR="00143C18" w:rsidRDefault="00143C18" w:rsidP="00143C18">
            <w:pPr>
              <w:jc w:val="center"/>
            </w:pPr>
            <w:r>
              <w:t>A</w:t>
            </w:r>
          </w:p>
        </w:tc>
        <w:tc>
          <w:tcPr>
            <w:tcW w:w="951" w:type="dxa"/>
          </w:tcPr>
          <w:p w14:paraId="2044D4B3" w14:textId="4E634326" w:rsidR="00143C18" w:rsidRDefault="00143C18">
            <w:r>
              <w:t>0.9925</w:t>
            </w:r>
          </w:p>
        </w:tc>
        <w:tc>
          <w:tcPr>
            <w:tcW w:w="930" w:type="dxa"/>
          </w:tcPr>
          <w:p w14:paraId="0BA0A315" w14:textId="5DDBA666" w:rsidR="00143C18" w:rsidRDefault="00143C18">
            <w:r>
              <w:t>0.0025</w:t>
            </w:r>
          </w:p>
        </w:tc>
        <w:tc>
          <w:tcPr>
            <w:tcW w:w="990" w:type="dxa"/>
          </w:tcPr>
          <w:p w14:paraId="2C9D1E1E" w14:textId="4E8B70E5" w:rsidR="00143C18" w:rsidRDefault="00143C18">
            <w:r>
              <w:t>0.0025</w:t>
            </w:r>
          </w:p>
        </w:tc>
        <w:tc>
          <w:tcPr>
            <w:tcW w:w="960" w:type="dxa"/>
          </w:tcPr>
          <w:p w14:paraId="2299354C" w14:textId="5676D2DD" w:rsidR="00143C18" w:rsidRDefault="00143C18">
            <w:r>
              <w:t>0.0025</w:t>
            </w:r>
          </w:p>
        </w:tc>
      </w:tr>
      <w:tr w:rsidR="00143C18" w14:paraId="2FBE253E" w14:textId="77777777" w:rsidTr="00143C18">
        <w:tc>
          <w:tcPr>
            <w:tcW w:w="1728" w:type="dxa"/>
            <w:vMerge/>
          </w:tcPr>
          <w:p w14:paraId="7BFA0FF8" w14:textId="61FF5514" w:rsidR="00143C18" w:rsidRDefault="00143C18"/>
        </w:tc>
        <w:tc>
          <w:tcPr>
            <w:tcW w:w="849" w:type="dxa"/>
          </w:tcPr>
          <w:p w14:paraId="1CBDEE90" w14:textId="02EA9245" w:rsidR="00143C18" w:rsidRDefault="00143C18" w:rsidP="00143C18">
            <w:pPr>
              <w:jc w:val="center"/>
            </w:pPr>
            <w:r>
              <w:t>T</w:t>
            </w:r>
          </w:p>
        </w:tc>
        <w:tc>
          <w:tcPr>
            <w:tcW w:w="951" w:type="dxa"/>
          </w:tcPr>
          <w:p w14:paraId="5CD33A0B" w14:textId="00F39C40" w:rsidR="00143C18" w:rsidRDefault="00143C18">
            <w:r>
              <w:t>0.0025</w:t>
            </w:r>
          </w:p>
        </w:tc>
        <w:tc>
          <w:tcPr>
            <w:tcW w:w="930" w:type="dxa"/>
          </w:tcPr>
          <w:p w14:paraId="2E66A3BF" w14:textId="50F7CC4C" w:rsidR="00143C18" w:rsidRDefault="00143C18">
            <w:r>
              <w:t>0.9925</w:t>
            </w:r>
          </w:p>
        </w:tc>
        <w:tc>
          <w:tcPr>
            <w:tcW w:w="990" w:type="dxa"/>
          </w:tcPr>
          <w:p w14:paraId="32A49182" w14:textId="61B79CA7" w:rsidR="00143C18" w:rsidRDefault="00143C18">
            <w:r>
              <w:t>0.0025</w:t>
            </w:r>
          </w:p>
        </w:tc>
        <w:tc>
          <w:tcPr>
            <w:tcW w:w="960" w:type="dxa"/>
          </w:tcPr>
          <w:p w14:paraId="6E6EE7C3" w14:textId="5C01A502" w:rsidR="00143C18" w:rsidRDefault="00143C18">
            <w:r>
              <w:t>0.0025</w:t>
            </w:r>
          </w:p>
        </w:tc>
      </w:tr>
      <w:tr w:rsidR="00143C18" w14:paraId="0A5A6D10" w14:textId="77777777" w:rsidTr="00143C18">
        <w:tc>
          <w:tcPr>
            <w:tcW w:w="1728" w:type="dxa"/>
            <w:vMerge/>
          </w:tcPr>
          <w:p w14:paraId="124728B0" w14:textId="77777777" w:rsidR="00143C18" w:rsidRDefault="00143C18"/>
        </w:tc>
        <w:tc>
          <w:tcPr>
            <w:tcW w:w="849" w:type="dxa"/>
          </w:tcPr>
          <w:p w14:paraId="68ED8C54" w14:textId="4343920F" w:rsidR="00143C18" w:rsidRDefault="00143C18" w:rsidP="00143C18">
            <w:pPr>
              <w:jc w:val="center"/>
            </w:pPr>
            <w:r>
              <w:t>C</w:t>
            </w:r>
          </w:p>
        </w:tc>
        <w:tc>
          <w:tcPr>
            <w:tcW w:w="951" w:type="dxa"/>
          </w:tcPr>
          <w:p w14:paraId="2CA789AD" w14:textId="3D75BD57" w:rsidR="00143C18" w:rsidRDefault="00143C18">
            <w:r>
              <w:t>0.0025</w:t>
            </w:r>
          </w:p>
        </w:tc>
        <w:tc>
          <w:tcPr>
            <w:tcW w:w="930" w:type="dxa"/>
          </w:tcPr>
          <w:p w14:paraId="325976A2" w14:textId="33E6B3F7" w:rsidR="00143C18" w:rsidRDefault="00143C18">
            <w:r>
              <w:t>0.0025</w:t>
            </w:r>
          </w:p>
        </w:tc>
        <w:tc>
          <w:tcPr>
            <w:tcW w:w="990" w:type="dxa"/>
          </w:tcPr>
          <w:p w14:paraId="2D28F4F4" w14:textId="4D6561FD" w:rsidR="00143C18" w:rsidRDefault="00143C18">
            <w:r>
              <w:t>0.9925</w:t>
            </w:r>
          </w:p>
        </w:tc>
        <w:tc>
          <w:tcPr>
            <w:tcW w:w="960" w:type="dxa"/>
          </w:tcPr>
          <w:p w14:paraId="1749EECA" w14:textId="595A81A5" w:rsidR="00143C18" w:rsidRDefault="00143C18">
            <w:r>
              <w:t>0.0025</w:t>
            </w:r>
          </w:p>
        </w:tc>
      </w:tr>
      <w:tr w:rsidR="00143C18" w14:paraId="486FE0EC" w14:textId="77777777" w:rsidTr="00143C18">
        <w:tc>
          <w:tcPr>
            <w:tcW w:w="1728" w:type="dxa"/>
            <w:vMerge/>
          </w:tcPr>
          <w:p w14:paraId="7EC0AC1A" w14:textId="77777777" w:rsidR="00143C18" w:rsidRDefault="00143C18"/>
        </w:tc>
        <w:tc>
          <w:tcPr>
            <w:tcW w:w="849" w:type="dxa"/>
          </w:tcPr>
          <w:p w14:paraId="76AAED9B" w14:textId="4EF0963E" w:rsidR="00143C18" w:rsidRDefault="00143C18" w:rsidP="00143C18">
            <w:pPr>
              <w:jc w:val="center"/>
            </w:pPr>
            <w:r>
              <w:t>G</w:t>
            </w:r>
          </w:p>
        </w:tc>
        <w:tc>
          <w:tcPr>
            <w:tcW w:w="951" w:type="dxa"/>
          </w:tcPr>
          <w:p w14:paraId="4A16C2B2" w14:textId="7C2D733D" w:rsidR="00143C18" w:rsidRDefault="00143C18">
            <w:r>
              <w:t>0.0025</w:t>
            </w:r>
          </w:p>
        </w:tc>
        <w:tc>
          <w:tcPr>
            <w:tcW w:w="930" w:type="dxa"/>
          </w:tcPr>
          <w:p w14:paraId="6638163B" w14:textId="42E7063A" w:rsidR="00143C18" w:rsidRDefault="00143C18">
            <w:r>
              <w:t>0.0025</w:t>
            </w:r>
          </w:p>
        </w:tc>
        <w:tc>
          <w:tcPr>
            <w:tcW w:w="990" w:type="dxa"/>
          </w:tcPr>
          <w:p w14:paraId="10B9C109" w14:textId="002C69E4" w:rsidR="00143C18" w:rsidRDefault="00143C18">
            <w:r>
              <w:t>0.0025</w:t>
            </w:r>
          </w:p>
        </w:tc>
        <w:tc>
          <w:tcPr>
            <w:tcW w:w="960" w:type="dxa"/>
          </w:tcPr>
          <w:p w14:paraId="412F2374" w14:textId="456D13B5" w:rsidR="00143C18" w:rsidRDefault="00143C18">
            <w:r>
              <w:t>0.9925</w:t>
            </w:r>
          </w:p>
        </w:tc>
      </w:tr>
    </w:tbl>
    <w:p w14:paraId="4ED024C9" w14:textId="625FF2BD" w:rsidR="00854895" w:rsidRDefault="00854895"/>
    <w:p w14:paraId="7C36104A" w14:textId="260E7ECE" w:rsidR="00C93BAA" w:rsidRDefault="00150147">
      <w:r>
        <w:t>Future versions of the program could include utilization of the quality scores generated by the sequencer, but this would come at a substantial computational cost. More work is required to determine to what that degree the accuracy of allele estimates would benefit from the utilization of the quality scores.</w:t>
      </w:r>
    </w:p>
    <w:p w14:paraId="298BB4AD" w14:textId="77777777" w:rsidR="00150147" w:rsidRDefault="00150147"/>
    <w:p w14:paraId="2CA37862" w14:textId="42091442" w:rsidR="000F1447" w:rsidRDefault="00725A9D">
      <w:r>
        <w:t>9</w:t>
      </w:r>
      <w:r w:rsidR="000F1447">
        <w:t xml:space="preserve">) </w:t>
      </w:r>
      <w:r w:rsidR="0093368F">
        <w:t xml:space="preserve">Compute the </w:t>
      </w:r>
      <w:r w:rsidR="00CD23B2">
        <w:t xml:space="preserve">log of the </w:t>
      </w:r>
      <w:r w:rsidR="0093368F">
        <w:t>H</w:t>
      </w:r>
      <w:r w:rsidR="00CD23B2">
        <w:t xml:space="preserve">astings ratio, </w:t>
      </w:r>
      <w:r w:rsidR="00A43FE9">
        <w:t xml:space="preserve">which is equal to </w:t>
      </w:r>
      <w:r w:rsidR="00CD23B2">
        <w:t>the difference in log likelihood scores between generations (</w:t>
      </w:r>
      <w:proofErr w:type="spellStart"/>
      <w:r w:rsidR="002918A6">
        <w:t>ln</w:t>
      </w:r>
      <w:r w:rsidR="00CD23B2">
        <w:t>L</w:t>
      </w:r>
      <w:r w:rsidR="00CD23B2" w:rsidRPr="00CD23B2">
        <w:rPr>
          <w:vertAlign w:val="subscript"/>
        </w:rPr>
        <w:t>i</w:t>
      </w:r>
      <w:proofErr w:type="spellEnd"/>
      <w:r w:rsidR="00CD23B2">
        <w:t xml:space="preserve"> - </w:t>
      </w:r>
      <w:r w:rsidR="002918A6">
        <w:t>ln</w:t>
      </w:r>
      <w:r w:rsidR="00CD23B2">
        <w:t>L</w:t>
      </w:r>
      <w:r w:rsidR="00CD23B2" w:rsidRPr="00CD23B2">
        <w:rPr>
          <w:vertAlign w:val="subscript"/>
        </w:rPr>
        <w:t>i-1</w:t>
      </w:r>
      <w:r w:rsidR="00CD23B2">
        <w:t>), when the prior is uniform and the proposals are symmetric.</w:t>
      </w:r>
    </w:p>
    <w:p w14:paraId="7C38C244" w14:textId="77777777" w:rsidR="00CD23B2" w:rsidRDefault="00CD23B2"/>
    <w:p w14:paraId="28819E3F" w14:textId="21A87726" w:rsidR="00CD23B2" w:rsidRDefault="00725A9D">
      <w:r>
        <w:t>10</w:t>
      </w:r>
      <w:r w:rsidR="00CD23B2">
        <w:t>) Acc</w:t>
      </w:r>
      <w:r>
        <w:t>ept the move if the log of the H</w:t>
      </w:r>
      <w:r w:rsidR="00CD23B2">
        <w:t>astings ratio is greater than the log of a randomly chosen number between 0 and 1.</w:t>
      </w:r>
    </w:p>
    <w:p w14:paraId="292DE2B2" w14:textId="77777777" w:rsidR="00A43FE9" w:rsidRDefault="00A43FE9"/>
    <w:p w14:paraId="4186DC54" w14:textId="2514095E" w:rsidR="00854895" w:rsidRDefault="00097313" w:rsidP="00D53C81">
      <w:r>
        <w:t>11) After the posterior di</w:t>
      </w:r>
      <w:r w:rsidR="00FB6007">
        <w:t xml:space="preserve">stribution has been estimated, </w:t>
      </w:r>
      <w:r w:rsidR="00C42008">
        <w:t>generate</w:t>
      </w:r>
      <w:r w:rsidR="00FB6007">
        <w:t xml:space="preserve"> full-</w:t>
      </w:r>
      <w:r>
        <w:t>length</w:t>
      </w:r>
      <w:r w:rsidR="00E8623F">
        <w:t xml:space="preserve"> alleles</w:t>
      </w:r>
      <w:r>
        <w:t xml:space="preserve"> by replacing </w:t>
      </w:r>
      <w:r w:rsidR="00FB6007">
        <w:t>the polymo</w:t>
      </w:r>
      <w:r w:rsidR="0067423B">
        <w:t>rp</w:t>
      </w:r>
      <w:r w:rsidR="00FB6007">
        <w:t>hic bases</w:t>
      </w:r>
      <w:r>
        <w:t xml:space="preserve"> in </w:t>
      </w:r>
      <w:r w:rsidR="00FB6007">
        <w:t xml:space="preserve">the consensus sequence with the bases </w:t>
      </w:r>
      <w:r w:rsidR="0067423B">
        <w:t>obtained from alleles</w:t>
      </w:r>
      <w:r w:rsidR="00D53C81">
        <w:t xml:space="preserve"> sampled in </w:t>
      </w:r>
      <w:r w:rsidR="0067423B">
        <w:t>the posterior distribution</w:t>
      </w:r>
      <w:r w:rsidR="00FB6007">
        <w:t xml:space="preserve">. Uncertainty in the posterior distribution is accommodated </w:t>
      </w:r>
      <w:r w:rsidR="00C42008">
        <w:t xml:space="preserve">by one of two methods. The first method generates </w:t>
      </w:r>
      <w:proofErr w:type="gramStart"/>
      <w:r w:rsidR="00C42008">
        <w:t>fully-phased</w:t>
      </w:r>
      <w:proofErr w:type="gramEnd"/>
      <w:r w:rsidR="00C42008">
        <w:t xml:space="preserve"> alleles with no ambiguities by drawing alleles randomly f</w:t>
      </w:r>
      <w:r w:rsidR="00D53C81">
        <w:t xml:space="preserve">rom the posterior distribution. </w:t>
      </w:r>
      <w:r w:rsidR="00C42008">
        <w:t xml:space="preserve">The second method </w:t>
      </w:r>
      <w:r w:rsidR="00D53C81">
        <w:t xml:space="preserve">generates </w:t>
      </w:r>
      <w:proofErr w:type="gramStart"/>
      <w:r w:rsidR="00D53C81">
        <w:t>partially-phased</w:t>
      </w:r>
      <w:proofErr w:type="gramEnd"/>
      <w:r w:rsidR="00D53C81">
        <w:t xml:space="preserve"> alleles with no ambiguities in the largest region containing 95% posterior confidence (adjacent polymorphic sites are associated in 95% of the posterior distribution), and ambiguities for the remainder of the polymorphic sites (ambiguities are </w:t>
      </w:r>
      <w:r w:rsidR="0067423B">
        <w:t>determined by the post</w:t>
      </w:r>
      <w:r w:rsidR="00D53C81">
        <w:t>erior probability of each base).</w:t>
      </w:r>
    </w:p>
    <w:p w14:paraId="733B8127" w14:textId="77777777" w:rsidR="000C3C78" w:rsidRDefault="000C3C78" w:rsidP="00D53C81"/>
    <w:p w14:paraId="4CD69CA5" w14:textId="604439EF" w:rsidR="000C3C78" w:rsidRDefault="000C3C78">
      <w:r>
        <w:br w:type="page"/>
      </w:r>
    </w:p>
    <w:p w14:paraId="346F776B" w14:textId="744777E9" w:rsidR="000C3C78" w:rsidRPr="000C3C78" w:rsidRDefault="000C3C78" w:rsidP="000C3C78">
      <w:pPr>
        <w:jc w:val="center"/>
        <w:rPr>
          <w:sz w:val="28"/>
        </w:rPr>
      </w:pPr>
      <w:proofErr w:type="spellStart"/>
      <w:r w:rsidRPr="000C3C78">
        <w:rPr>
          <w:sz w:val="28"/>
        </w:rPr>
        <w:t>Storeria</w:t>
      </w:r>
      <w:proofErr w:type="spellEnd"/>
      <w:r w:rsidRPr="000C3C78">
        <w:rPr>
          <w:sz w:val="28"/>
        </w:rPr>
        <w:t>-Specific Param</w:t>
      </w:r>
      <w:r>
        <w:rPr>
          <w:sz w:val="28"/>
        </w:rPr>
        <w:t>e</w:t>
      </w:r>
      <w:r w:rsidRPr="000C3C78">
        <w:rPr>
          <w:sz w:val="28"/>
        </w:rPr>
        <w:t>ters</w:t>
      </w:r>
    </w:p>
    <w:p w14:paraId="3345056F" w14:textId="77777777" w:rsidR="000C3C78" w:rsidRDefault="000C3C78" w:rsidP="00D53C81"/>
    <w:p w14:paraId="45B43A33" w14:textId="121C23A5" w:rsidR="000C3C78" w:rsidRDefault="002C1D15" w:rsidP="00D53C81">
      <w:proofErr w:type="spellStart"/>
      <w:proofErr w:type="gramStart"/>
      <w:r>
        <w:t>nGens</w:t>
      </w:r>
      <w:proofErr w:type="spellEnd"/>
      <w:proofErr w:type="gramEnd"/>
      <w:r>
        <w:t xml:space="preserve"> = 20000</w:t>
      </w:r>
    </w:p>
    <w:p w14:paraId="08E8169B" w14:textId="0A4DED2E" w:rsidR="000C3C78" w:rsidRDefault="000C3C78" w:rsidP="00D53C81">
      <w:proofErr w:type="spellStart"/>
      <w:proofErr w:type="gramStart"/>
      <w:r>
        <w:t>probSwap</w:t>
      </w:r>
      <w:proofErr w:type="spellEnd"/>
      <w:proofErr w:type="gramEnd"/>
      <w:r>
        <w:t xml:space="preserve"> = 0.5</w:t>
      </w:r>
    </w:p>
    <w:p w14:paraId="4AB7DAB3" w14:textId="4EAD704B" w:rsidR="000C3C78" w:rsidRDefault="000C3C78" w:rsidP="00D53C81">
      <w:proofErr w:type="spellStart"/>
      <w:proofErr w:type="gramStart"/>
      <w:r>
        <w:t>nAlleles</w:t>
      </w:r>
      <w:proofErr w:type="spellEnd"/>
      <w:proofErr w:type="gramEnd"/>
      <w:r>
        <w:t xml:space="preserve"> = 2</w:t>
      </w:r>
    </w:p>
    <w:p w14:paraId="4B82DB46" w14:textId="36A05771" w:rsidR="0066363C" w:rsidRDefault="0066363C" w:rsidP="00D53C81">
      <w:proofErr w:type="spellStart"/>
      <w:proofErr w:type="gramStart"/>
      <w:r>
        <w:t>sampleFrequency</w:t>
      </w:r>
      <w:proofErr w:type="spellEnd"/>
      <w:proofErr w:type="gramEnd"/>
      <w:r>
        <w:t xml:space="preserve"> = 100</w:t>
      </w:r>
    </w:p>
    <w:p w14:paraId="7622F866" w14:textId="6D77752A" w:rsidR="0066363C" w:rsidRDefault="000658DC" w:rsidP="00D53C81">
      <w:proofErr w:type="spellStart"/>
      <w:proofErr w:type="gramStart"/>
      <w:r>
        <w:t>burnin</w:t>
      </w:r>
      <w:proofErr w:type="spellEnd"/>
      <w:proofErr w:type="gramEnd"/>
      <w:r w:rsidR="002C1D15">
        <w:t xml:space="preserve"> = 10</w:t>
      </w:r>
      <w:r w:rsidR="0066363C">
        <w:t>000 generations</w:t>
      </w:r>
    </w:p>
    <w:p w14:paraId="7859493D" w14:textId="145BAFA9" w:rsidR="000C3C78" w:rsidRDefault="000C3C78" w:rsidP="00D53C81">
      <w:proofErr w:type="spellStart"/>
      <w:proofErr w:type="gramStart"/>
      <w:r>
        <w:t>probMatrix</w:t>
      </w:r>
      <w:proofErr w:type="spellEnd"/>
      <w:proofErr w:type="gramEnd"/>
      <w:r>
        <w:t xml:space="preserve"> = default, </w:t>
      </w:r>
      <w:proofErr w:type="spellStart"/>
      <w:r>
        <w:t>pSequencingError</w:t>
      </w:r>
      <w:proofErr w:type="spellEnd"/>
      <w:r>
        <w:t xml:space="preserve"> = 0.0025</w:t>
      </w:r>
    </w:p>
    <w:p w14:paraId="1C6E9BAC" w14:textId="6280F9D2" w:rsidR="000C3C78" w:rsidRDefault="000C3C78" w:rsidP="00D53C81">
      <w:proofErr w:type="gramStart"/>
      <w:r>
        <w:t>ambiguity</w:t>
      </w:r>
      <w:proofErr w:type="gramEnd"/>
      <w:r>
        <w:t xml:space="preserve"> resolution method = </w:t>
      </w:r>
      <w:proofErr w:type="spellStart"/>
      <w:r>
        <w:t>allelesWAmbigs</w:t>
      </w:r>
      <w:proofErr w:type="spellEnd"/>
    </w:p>
    <w:p w14:paraId="6A90C39E" w14:textId="77777777" w:rsidR="000C3C78" w:rsidRDefault="000C3C78" w:rsidP="00D53C81"/>
    <w:p w14:paraId="51BA94BE" w14:textId="7DE91E47" w:rsidR="000C3C78" w:rsidRDefault="000C3C78">
      <w:r>
        <w:br w:type="page"/>
      </w:r>
    </w:p>
    <w:p w14:paraId="3B4829B3" w14:textId="68DE6C38" w:rsidR="000C3C78" w:rsidRPr="000C3C78" w:rsidRDefault="000C3C78" w:rsidP="000C3C78">
      <w:pPr>
        <w:jc w:val="center"/>
        <w:rPr>
          <w:sz w:val="28"/>
        </w:rPr>
      </w:pPr>
      <w:r w:rsidRPr="000C3C78">
        <w:rPr>
          <w:sz w:val="28"/>
        </w:rPr>
        <w:t xml:space="preserve">Allele </w:t>
      </w:r>
      <w:proofErr w:type="spellStart"/>
      <w:r w:rsidRPr="000C3C78">
        <w:rPr>
          <w:sz w:val="28"/>
        </w:rPr>
        <w:t>Phaser</w:t>
      </w:r>
      <w:proofErr w:type="spellEnd"/>
      <w:r w:rsidRPr="000C3C78">
        <w:rPr>
          <w:sz w:val="28"/>
        </w:rPr>
        <w:t xml:space="preserve"> Program Notes</w:t>
      </w:r>
      <w:r w:rsidR="00A716DC">
        <w:rPr>
          <w:sz w:val="28"/>
        </w:rPr>
        <w:t xml:space="preserve"> (for ReadMe file?)</w:t>
      </w:r>
    </w:p>
    <w:p w14:paraId="5A74917E" w14:textId="77777777" w:rsidR="000C3C78" w:rsidRDefault="000C3C78" w:rsidP="000C3C78"/>
    <w:p w14:paraId="44FE63F8" w14:textId="77777777" w:rsidR="000C3C78" w:rsidRDefault="000C3C78" w:rsidP="000C3C78">
      <w:r>
        <w:t>Program Input:</w:t>
      </w:r>
    </w:p>
    <w:p w14:paraId="6E4DE8B9" w14:textId="77777777" w:rsidR="000C3C78" w:rsidRDefault="000C3C78" w:rsidP="000C3C78">
      <w:r>
        <w:tab/>
      </w:r>
      <w:proofErr w:type="spellStart"/>
      <w:proofErr w:type="gramStart"/>
      <w:r>
        <w:t>fileStem</w:t>
      </w:r>
      <w:proofErr w:type="spellEnd"/>
      <w:proofErr w:type="gramEnd"/>
      <w:r>
        <w:tab/>
        <w:t xml:space="preserve">e.g.  I13440, </w:t>
      </w:r>
    </w:p>
    <w:p w14:paraId="3DE5F3EC" w14:textId="77777777" w:rsidR="000C3C78" w:rsidRDefault="000C3C78" w:rsidP="000C3C78">
      <w:r>
        <w:tab/>
      </w:r>
      <w:r>
        <w:tab/>
      </w:r>
      <w:proofErr w:type="gramStart"/>
      <w:r>
        <w:t>program</w:t>
      </w:r>
      <w:proofErr w:type="gramEnd"/>
      <w:r>
        <w:t xml:space="preserve"> uses *_polys.txt, *_</w:t>
      </w:r>
      <w:proofErr w:type="spellStart"/>
      <w:r>
        <w:t>conSeqs.fasta</w:t>
      </w:r>
      <w:proofErr w:type="spellEnd"/>
      <w:r>
        <w:t>, and *_readsInFiles.txt</w:t>
      </w:r>
    </w:p>
    <w:p w14:paraId="39CB822C" w14:textId="77777777" w:rsidR="000C3C78" w:rsidRDefault="000C3C78" w:rsidP="000C3C78">
      <w:r>
        <w:tab/>
      </w:r>
      <w:proofErr w:type="spellStart"/>
      <w:proofErr w:type="gramStart"/>
      <w:r>
        <w:t>nGens</w:t>
      </w:r>
      <w:proofErr w:type="spellEnd"/>
      <w:proofErr w:type="gramEnd"/>
      <w:r>
        <w:tab/>
      </w:r>
      <w:r>
        <w:tab/>
        <w:t>e.g. 10000</w:t>
      </w:r>
    </w:p>
    <w:p w14:paraId="4F4D98DE" w14:textId="77777777" w:rsidR="000C3C78" w:rsidRDefault="000C3C78" w:rsidP="000C3C78">
      <w:r>
        <w:tab/>
      </w:r>
      <w:r>
        <w:tab/>
      </w:r>
      <w:proofErr w:type="gramStart"/>
      <w:r>
        <w:t>number</w:t>
      </w:r>
      <w:proofErr w:type="gramEnd"/>
      <w:r>
        <w:t xml:space="preserve"> of MCMC generations</w:t>
      </w:r>
    </w:p>
    <w:p w14:paraId="6EEE500B" w14:textId="77777777" w:rsidR="000C3C78" w:rsidRDefault="000C3C78" w:rsidP="000C3C78">
      <w:r>
        <w:tab/>
      </w:r>
      <w:proofErr w:type="spellStart"/>
      <w:proofErr w:type="gramStart"/>
      <w:r>
        <w:t>probSwap</w:t>
      </w:r>
      <w:proofErr w:type="spellEnd"/>
      <w:proofErr w:type="gramEnd"/>
      <w:r>
        <w:tab/>
        <w:t>e.g. 0.5</w:t>
      </w:r>
    </w:p>
    <w:p w14:paraId="47819634" w14:textId="77777777" w:rsidR="000C3C78" w:rsidRDefault="000C3C78" w:rsidP="000C3C78">
      <w:r>
        <w:tab/>
      </w:r>
      <w:r>
        <w:tab/>
      </w:r>
      <w:proofErr w:type="gramStart"/>
      <w:r>
        <w:t>proportion</w:t>
      </w:r>
      <w:proofErr w:type="gramEnd"/>
      <w:r>
        <w:t xml:space="preserve"> of times </w:t>
      </w:r>
      <w:proofErr w:type="spellStart"/>
      <w:r>
        <w:t>mcmc</w:t>
      </w:r>
      <w:proofErr w:type="spellEnd"/>
      <w:r>
        <w:t>-proposed change is a swap of allele bases</w:t>
      </w:r>
    </w:p>
    <w:p w14:paraId="516C2B6C" w14:textId="77777777" w:rsidR="000C3C78" w:rsidRDefault="000C3C78" w:rsidP="000C3C78">
      <w:r>
        <w:tab/>
      </w:r>
      <w:proofErr w:type="spellStart"/>
      <w:proofErr w:type="gramStart"/>
      <w:r>
        <w:t>nAlleles</w:t>
      </w:r>
      <w:proofErr w:type="spellEnd"/>
      <w:proofErr w:type="gramEnd"/>
      <w:r>
        <w:tab/>
        <w:t>e.g. 2</w:t>
      </w:r>
    </w:p>
    <w:p w14:paraId="3DCAA29B" w14:textId="77777777" w:rsidR="000C3C78" w:rsidRDefault="000C3C78" w:rsidP="000C3C78">
      <w:r>
        <w:tab/>
      </w:r>
      <w:r>
        <w:tab/>
        <w:t>Number of alleles assumed</w:t>
      </w:r>
    </w:p>
    <w:p w14:paraId="21CCDC04" w14:textId="77777777" w:rsidR="000C3C78" w:rsidRDefault="000C3C78" w:rsidP="000C3C78">
      <w:r>
        <w:tab/>
      </w:r>
      <w:proofErr w:type="gramStart"/>
      <w:r>
        <w:t>verbose</w:t>
      </w:r>
      <w:proofErr w:type="gramEnd"/>
      <w:r>
        <w:tab/>
        <w:t>e.g. VERBOSE</w:t>
      </w:r>
    </w:p>
    <w:p w14:paraId="4B2158C6" w14:textId="77777777" w:rsidR="000C3C78" w:rsidRDefault="000C3C78" w:rsidP="000C3C78">
      <w:r>
        <w:tab/>
      </w:r>
      <w:r>
        <w:tab/>
      </w:r>
      <w:proofErr w:type="gramStart"/>
      <w:r>
        <w:t>optional</w:t>
      </w:r>
      <w:proofErr w:type="gramEnd"/>
      <w:r>
        <w:t xml:space="preserve"> last parameter indicating that verbose output is desired</w:t>
      </w:r>
    </w:p>
    <w:p w14:paraId="59577D2B" w14:textId="77777777" w:rsidR="000C3C78" w:rsidRDefault="000C3C78" w:rsidP="000C3C78"/>
    <w:p w14:paraId="0C69C147" w14:textId="77777777" w:rsidR="000C3C78" w:rsidRDefault="000C3C78" w:rsidP="000C3C78">
      <w:r>
        <w:tab/>
        <w:t>ProbMatrix.txt</w:t>
      </w:r>
    </w:p>
    <w:p w14:paraId="50286E6C" w14:textId="77777777" w:rsidR="000C3C78" w:rsidRDefault="000C3C78" w:rsidP="000C3C78">
      <w:r>
        <w:tab/>
      </w:r>
      <w:r>
        <w:tab/>
        <w:t xml:space="preserve">Matrix specifying the probabilities of sequencing error </w:t>
      </w:r>
    </w:p>
    <w:p w14:paraId="3A2116D4" w14:textId="77777777" w:rsidR="000C3C78" w:rsidRDefault="000C3C78" w:rsidP="000C3C78"/>
    <w:p w14:paraId="22758494" w14:textId="77777777" w:rsidR="000C3C78" w:rsidRDefault="000C3C78" w:rsidP="000C3C78">
      <w:r>
        <w:tab/>
        <w:t>*_</w:t>
      </w:r>
      <w:proofErr w:type="spellStart"/>
      <w:proofErr w:type="gramStart"/>
      <w:r>
        <w:t>conSeqs.fasta</w:t>
      </w:r>
      <w:proofErr w:type="spellEnd"/>
      <w:proofErr w:type="gramEnd"/>
      <w:r>
        <w:tab/>
        <w:t>Consensus sequences with &gt;L1.1 header format</w:t>
      </w:r>
    </w:p>
    <w:p w14:paraId="116BF923" w14:textId="77777777" w:rsidR="000C3C78" w:rsidRDefault="000C3C78" w:rsidP="000C3C78">
      <w:r>
        <w:tab/>
        <w:t>*_</w:t>
      </w:r>
      <w:proofErr w:type="gramStart"/>
      <w:r>
        <w:t>polys.txt</w:t>
      </w:r>
      <w:proofErr w:type="gramEnd"/>
      <w:r>
        <w:tab/>
      </w:r>
      <w:r>
        <w:tab/>
        <w:t>File detailing the polymorphic sites</w:t>
      </w:r>
    </w:p>
    <w:p w14:paraId="76415F3F" w14:textId="77777777" w:rsidR="000C3C78" w:rsidRDefault="000C3C78" w:rsidP="000C3C78">
      <w:r>
        <w:tab/>
      </w:r>
      <w:r>
        <w:tab/>
      </w:r>
      <w:r>
        <w:tab/>
      </w:r>
      <w:r>
        <w:tab/>
      </w:r>
      <w:proofErr w:type="gramStart"/>
      <w:r>
        <w:t>e</w:t>
      </w:r>
      <w:proofErr w:type="gramEnd"/>
      <w:r>
        <w:t>.g.</w:t>
      </w:r>
      <w:r>
        <w:tab/>
      </w:r>
      <w:r w:rsidRPr="004513A7">
        <w:t>4</w:t>
      </w:r>
      <w:r w:rsidRPr="004513A7">
        <w:tab/>
        <w:t>1</w:t>
      </w:r>
      <w:r w:rsidRPr="004513A7">
        <w:tab/>
        <w:t>35970</w:t>
      </w:r>
      <w:r w:rsidRPr="004513A7">
        <w:tab/>
        <w:t>331</w:t>
      </w:r>
      <w:r w:rsidRPr="004513A7">
        <w:tab/>
        <w:t>202</w:t>
      </w:r>
      <w:r w:rsidRPr="004513A7">
        <w:tab/>
        <w:t>C</w:t>
      </w:r>
      <w:r w:rsidRPr="004513A7">
        <w:tab/>
        <w:t>E</w:t>
      </w:r>
    </w:p>
    <w:p w14:paraId="44EFE22E" w14:textId="77777777" w:rsidR="000C3C78" w:rsidRDefault="000C3C78" w:rsidP="000C3C78">
      <w:r>
        <w:tab/>
      </w:r>
      <w:r>
        <w:tab/>
      </w:r>
      <w:r>
        <w:tab/>
      </w:r>
      <w:r>
        <w:tab/>
      </w:r>
      <w:r>
        <w:tab/>
      </w:r>
      <w:proofErr w:type="gramStart"/>
      <w:r>
        <w:t>locus</w:t>
      </w:r>
      <w:proofErr w:type="gramEnd"/>
      <w:r>
        <w:tab/>
        <w:t>sup</w:t>
      </w:r>
      <w:r>
        <w:tab/>
        <w:t>read</w:t>
      </w:r>
      <w:r>
        <w:tab/>
      </w:r>
      <w:proofErr w:type="spellStart"/>
      <w:r>
        <w:t>aPos</w:t>
      </w:r>
      <w:proofErr w:type="spellEnd"/>
      <w:r>
        <w:tab/>
      </w:r>
      <w:proofErr w:type="spellStart"/>
      <w:r>
        <w:t>rPos</w:t>
      </w:r>
      <w:proofErr w:type="spellEnd"/>
      <w:r>
        <w:tab/>
        <w:t>base</w:t>
      </w:r>
      <w:r>
        <w:tab/>
      </w:r>
      <w:proofErr w:type="spellStart"/>
      <w:r>
        <w:t>qual</w:t>
      </w:r>
      <w:proofErr w:type="spellEnd"/>
    </w:p>
    <w:p w14:paraId="41C4E6F0" w14:textId="77777777" w:rsidR="000C3C78" w:rsidRDefault="000C3C78" w:rsidP="000C3C78"/>
    <w:p w14:paraId="39DC5211" w14:textId="77777777" w:rsidR="000C3C78" w:rsidRDefault="000C3C78" w:rsidP="000C3C78">
      <w:r>
        <w:t>Program Output</w:t>
      </w:r>
    </w:p>
    <w:p w14:paraId="54451796" w14:textId="77777777" w:rsidR="000C3C78" w:rsidRDefault="000C3C78" w:rsidP="000C3C78">
      <w:r>
        <w:tab/>
        <w:t>*_</w:t>
      </w:r>
      <w:proofErr w:type="spellStart"/>
      <w:proofErr w:type="gramStart"/>
      <w:r>
        <w:t>polySummary</w:t>
      </w:r>
      <w:proofErr w:type="spellEnd"/>
      <w:proofErr w:type="gramEnd"/>
      <w:r>
        <w:tab/>
        <w:t>Polymorphic sites and connections between them</w:t>
      </w:r>
    </w:p>
    <w:p w14:paraId="79A6C548" w14:textId="77777777" w:rsidR="000C3C78" w:rsidRDefault="000C3C78" w:rsidP="000C3C78">
      <w:r>
        <w:tab/>
      </w:r>
      <w:r>
        <w:tab/>
      </w:r>
      <w:r>
        <w:tab/>
      </w:r>
      <w:r>
        <w:tab/>
      </w:r>
      <w:proofErr w:type="gramStart"/>
      <w:r>
        <w:t>e</w:t>
      </w:r>
      <w:proofErr w:type="gramEnd"/>
      <w:r>
        <w:t xml:space="preserve">.g. </w:t>
      </w:r>
      <w:r>
        <w:tab/>
      </w:r>
      <w:r w:rsidRPr="00A70755">
        <w:t>5&lt;=(10)=&gt;25&lt;=(99)=&gt;135&lt;=(0)=&gt;450</w:t>
      </w:r>
    </w:p>
    <w:p w14:paraId="0DEB5BA9" w14:textId="77777777" w:rsidR="000C3C78" w:rsidRDefault="000C3C78" w:rsidP="000C3C78">
      <w:r>
        <w:tab/>
      </w:r>
      <w:r>
        <w:tab/>
      </w:r>
      <w:r>
        <w:tab/>
      </w:r>
      <w:r>
        <w:tab/>
      </w:r>
    </w:p>
    <w:p w14:paraId="192829A7" w14:textId="77777777" w:rsidR="000C3C78" w:rsidRDefault="000C3C78" w:rsidP="000C3C78">
      <w:r>
        <w:tab/>
        <w:t>*_</w:t>
      </w:r>
      <w:proofErr w:type="gramStart"/>
      <w:r>
        <w:t>posteriors</w:t>
      </w:r>
      <w:proofErr w:type="gramEnd"/>
      <w:r>
        <w:t>_*.txt</w:t>
      </w:r>
      <w:r>
        <w:tab/>
        <w:t>Posterior probability distribution of allele sets</w:t>
      </w:r>
    </w:p>
    <w:p w14:paraId="34D2BB8B" w14:textId="77777777" w:rsidR="000C3C78" w:rsidRDefault="000C3C78" w:rsidP="000C3C78">
      <w:r>
        <w:tab/>
        <w:t>*_</w:t>
      </w:r>
      <w:proofErr w:type="spellStart"/>
      <w:proofErr w:type="gramStart"/>
      <w:r>
        <w:t>allelesFromPost</w:t>
      </w:r>
      <w:proofErr w:type="spellEnd"/>
      <w:proofErr w:type="gramEnd"/>
      <w:r>
        <w:tab/>
        <w:t>Fully resolved alleles, drawn randomly from the post.</w:t>
      </w:r>
    </w:p>
    <w:p w14:paraId="13718F1A" w14:textId="77777777" w:rsidR="000C3C78" w:rsidRDefault="000C3C78" w:rsidP="000C3C78">
      <w:r>
        <w:tab/>
        <w:t>*_</w:t>
      </w:r>
      <w:proofErr w:type="spellStart"/>
      <w:proofErr w:type="gramStart"/>
      <w:r>
        <w:t>allelesWAmbigs</w:t>
      </w:r>
      <w:proofErr w:type="spellEnd"/>
      <w:proofErr w:type="gramEnd"/>
      <w:r>
        <w:tab/>
        <w:t xml:space="preserve">Alleles resolved via 95% confidence, otherwise </w:t>
      </w:r>
      <w:proofErr w:type="spellStart"/>
      <w:r>
        <w:t>ambig</w:t>
      </w:r>
      <w:proofErr w:type="spellEnd"/>
    </w:p>
    <w:p w14:paraId="068B967D" w14:textId="77777777" w:rsidR="000C3C78" w:rsidRDefault="000C3C78" w:rsidP="000C3C78">
      <w:r>
        <w:tab/>
        <w:t>*_</w:t>
      </w:r>
      <w:proofErr w:type="spellStart"/>
      <w:proofErr w:type="gramStart"/>
      <w:r>
        <w:t>posteriorSummary</w:t>
      </w:r>
      <w:proofErr w:type="spellEnd"/>
      <w:proofErr w:type="gramEnd"/>
      <w:r>
        <w:tab/>
        <w:t xml:space="preserve">101 x 101 matrix with counts of </w:t>
      </w:r>
      <w:proofErr w:type="spellStart"/>
      <w:r>
        <w:t>nHetSites</w:t>
      </w:r>
      <w:proofErr w:type="spellEnd"/>
      <w:r>
        <w:t xml:space="preserve"> x </w:t>
      </w:r>
      <w:proofErr w:type="spellStart"/>
      <w:r>
        <w:t>postProb</w:t>
      </w:r>
      <w:proofErr w:type="spellEnd"/>
    </w:p>
    <w:p w14:paraId="3418FC2C" w14:textId="77777777" w:rsidR="000C3C78" w:rsidRDefault="000C3C78" w:rsidP="000C3C78"/>
    <w:p w14:paraId="3D8EF7C1" w14:textId="77777777" w:rsidR="000C3C78" w:rsidRDefault="000C3C78" w:rsidP="000C3C78">
      <w:r>
        <w:t>Starting Conditions</w:t>
      </w:r>
    </w:p>
    <w:p w14:paraId="30C383CD" w14:textId="77777777" w:rsidR="000C3C78" w:rsidRDefault="000C3C78" w:rsidP="000C3C78">
      <w:r>
        <w:tab/>
        <w:t>Equal base frequencies (alleles drawn from null distribution)</w:t>
      </w:r>
    </w:p>
    <w:p w14:paraId="57A41D66" w14:textId="77777777" w:rsidR="000C3C78" w:rsidRDefault="000C3C78" w:rsidP="000C3C78"/>
    <w:p w14:paraId="4E08A84C" w14:textId="77777777" w:rsidR="000C3C78" w:rsidRDefault="000C3C78" w:rsidP="000C3C78">
      <w:r>
        <w:t xml:space="preserve">Data Structure: </w:t>
      </w:r>
      <w:proofErr w:type="spellStart"/>
      <w:r>
        <w:t>AllelePhaserRead</w:t>
      </w:r>
      <w:proofErr w:type="spellEnd"/>
      <w:r>
        <w:t xml:space="preserve"> for linked list</w:t>
      </w:r>
    </w:p>
    <w:p w14:paraId="3D2D4812" w14:textId="77777777" w:rsidR="000C3C78" w:rsidRDefault="000C3C78" w:rsidP="000C3C78">
      <w:r>
        <w:tab/>
      </w:r>
      <w:proofErr w:type="spellStart"/>
      <w:proofErr w:type="gramStart"/>
      <w:r>
        <w:t>readID</w:t>
      </w:r>
      <w:proofErr w:type="spellEnd"/>
      <w:proofErr w:type="gramEnd"/>
      <w:r>
        <w:tab/>
      </w:r>
      <w:r>
        <w:tab/>
        <w:t xml:space="preserve">read number in </w:t>
      </w:r>
      <w:proofErr w:type="spellStart"/>
      <w:r>
        <w:t>fastq</w:t>
      </w:r>
      <w:proofErr w:type="spellEnd"/>
      <w:r>
        <w:t xml:space="preserve"> file, used to account for paired reads</w:t>
      </w:r>
    </w:p>
    <w:p w14:paraId="0D32B9ED" w14:textId="77777777" w:rsidR="000C3C78" w:rsidRDefault="000C3C78" w:rsidP="000C3C78">
      <w:r>
        <w:tab/>
      </w:r>
      <w:proofErr w:type="gramStart"/>
      <w:r>
        <w:t>weight</w:t>
      </w:r>
      <w:proofErr w:type="gramEnd"/>
      <w:r>
        <w:tab/>
      </w:r>
      <w:r>
        <w:tab/>
        <w:t>currently 1, should improve to be count of identical b[], s[]</w:t>
      </w:r>
    </w:p>
    <w:p w14:paraId="6E137556" w14:textId="77777777" w:rsidR="000C3C78" w:rsidRDefault="000C3C78" w:rsidP="000C3C78">
      <w:r>
        <w:tab/>
      </w:r>
      <w:proofErr w:type="gramStart"/>
      <w:r>
        <w:t>b</w:t>
      </w:r>
      <w:proofErr w:type="gramEnd"/>
      <w:r>
        <w:t>[]</w:t>
      </w:r>
      <w:r>
        <w:tab/>
      </w:r>
      <w:r>
        <w:tab/>
        <w:t>array indicating bases observed in polymorphic sites</w:t>
      </w:r>
    </w:p>
    <w:p w14:paraId="7B8965F1" w14:textId="77777777" w:rsidR="000C3C78" w:rsidRDefault="000C3C78" w:rsidP="000C3C78">
      <w:r>
        <w:tab/>
      </w:r>
      <w:proofErr w:type="gramStart"/>
      <w:r>
        <w:t>s</w:t>
      </w:r>
      <w:proofErr w:type="gramEnd"/>
      <w:r>
        <w:t>[]</w:t>
      </w:r>
      <w:r>
        <w:tab/>
      </w:r>
      <w:r>
        <w:tab/>
        <w:t>array indicating site positions of bases in b[]</w:t>
      </w:r>
    </w:p>
    <w:p w14:paraId="6118B893" w14:textId="77777777" w:rsidR="000C3C78" w:rsidRDefault="000C3C78" w:rsidP="000C3C78">
      <w:r>
        <w:tab/>
      </w:r>
      <w:proofErr w:type="gramStart"/>
      <w:r>
        <w:t>length</w:t>
      </w:r>
      <w:proofErr w:type="gramEnd"/>
      <w:r>
        <w:tab/>
      </w:r>
      <w:r>
        <w:tab/>
        <w:t>number of bases in b[]</w:t>
      </w:r>
    </w:p>
    <w:p w14:paraId="0C6DBA25" w14:textId="77777777" w:rsidR="000C3C78" w:rsidRDefault="000C3C78" w:rsidP="000C3C78">
      <w:r>
        <w:tab/>
      </w:r>
      <w:proofErr w:type="gramStart"/>
      <w:r>
        <w:t>next</w:t>
      </w:r>
      <w:proofErr w:type="gramEnd"/>
      <w:r>
        <w:tab/>
      </w:r>
      <w:r>
        <w:tab/>
        <w:t>link to next read in list</w:t>
      </w:r>
      <w:r>
        <w:tab/>
      </w:r>
    </w:p>
    <w:p w14:paraId="688ACFA4" w14:textId="77777777" w:rsidR="000C3C78" w:rsidRDefault="000C3C78" w:rsidP="000C3C78"/>
    <w:p w14:paraId="304CBB3E" w14:textId="77777777" w:rsidR="000C3C78" w:rsidRDefault="000C3C78" w:rsidP="000C3C78"/>
    <w:p w14:paraId="5A1A3AA1" w14:textId="6E6B9D0B" w:rsidR="000C3C78" w:rsidRDefault="000C3C78" w:rsidP="00D53C81"/>
    <w:sectPr w:rsidR="000C3C78" w:rsidSect="00004C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3A7"/>
    <w:rsid w:val="00004C59"/>
    <w:rsid w:val="00004D96"/>
    <w:rsid w:val="0004605A"/>
    <w:rsid w:val="000539E6"/>
    <w:rsid w:val="000658DC"/>
    <w:rsid w:val="00074893"/>
    <w:rsid w:val="00097313"/>
    <w:rsid w:val="000C3C78"/>
    <w:rsid w:val="000F1447"/>
    <w:rsid w:val="0011545C"/>
    <w:rsid w:val="00143C18"/>
    <w:rsid w:val="00150147"/>
    <w:rsid w:val="002918A6"/>
    <w:rsid w:val="002C1D15"/>
    <w:rsid w:val="002E3A6A"/>
    <w:rsid w:val="00332814"/>
    <w:rsid w:val="003F6799"/>
    <w:rsid w:val="004513A7"/>
    <w:rsid w:val="00475018"/>
    <w:rsid w:val="004F0D34"/>
    <w:rsid w:val="00656D00"/>
    <w:rsid w:val="0066363C"/>
    <w:rsid w:val="0067423B"/>
    <w:rsid w:val="00725A9D"/>
    <w:rsid w:val="00774A05"/>
    <w:rsid w:val="007D4AA8"/>
    <w:rsid w:val="00837644"/>
    <w:rsid w:val="00854895"/>
    <w:rsid w:val="0093368F"/>
    <w:rsid w:val="00957339"/>
    <w:rsid w:val="00A43FE9"/>
    <w:rsid w:val="00A70755"/>
    <w:rsid w:val="00A716DC"/>
    <w:rsid w:val="00A74DAE"/>
    <w:rsid w:val="00C42008"/>
    <w:rsid w:val="00C93BAA"/>
    <w:rsid w:val="00CD23B2"/>
    <w:rsid w:val="00D53C81"/>
    <w:rsid w:val="00D57265"/>
    <w:rsid w:val="00E1338C"/>
    <w:rsid w:val="00E3032F"/>
    <w:rsid w:val="00E8623F"/>
    <w:rsid w:val="00EB26A7"/>
    <w:rsid w:val="00ED4855"/>
    <w:rsid w:val="00F56B1B"/>
    <w:rsid w:val="00FB3A8E"/>
    <w:rsid w:val="00FB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9796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4D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D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9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54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4D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D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9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54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2B2954-099C-AA4B-A34C-BC88A1B0F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848</Words>
  <Characters>4840</Characters>
  <Application>Microsoft Macintosh Word</Application>
  <DocSecurity>0</DocSecurity>
  <Lines>40</Lines>
  <Paragraphs>11</Paragraphs>
  <ScaleCrop>false</ScaleCrop>
  <Company>Florida State University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Lemmon</dc:creator>
  <cp:keywords/>
  <dc:description/>
  <cp:lastModifiedBy>Alan Lemmon</cp:lastModifiedBy>
  <cp:revision>28</cp:revision>
  <dcterms:created xsi:type="dcterms:W3CDTF">2015-09-14T10:04:00Z</dcterms:created>
  <dcterms:modified xsi:type="dcterms:W3CDTF">2016-01-16T20:36:00Z</dcterms:modified>
</cp:coreProperties>
</file>