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E4ED5" w14:textId="77777777" w:rsidR="006E1290" w:rsidRDefault="006E1290">
      <w:pPr>
        <w:spacing w:after="100"/>
      </w:pPr>
    </w:p>
    <w:p w14:paraId="5203069D" w14:textId="77777777" w:rsidR="006E1290" w:rsidRDefault="006E1290">
      <w:pPr>
        <w:spacing w:after="100"/>
      </w:pPr>
    </w:p>
    <w:p w14:paraId="59218894" w14:textId="77777777" w:rsidR="006E1290" w:rsidRDefault="006E1290">
      <w:pPr>
        <w:spacing w:after="100"/>
      </w:pPr>
    </w:p>
    <w:p w14:paraId="768183E8" w14:textId="77777777" w:rsidR="006E1290" w:rsidRDefault="006E1290">
      <w:pPr>
        <w:spacing w:after="100"/>
      </w:pPr>
    </w:p>
    <w:p w14:paraId="61AE5BEE" w14:textId="77777777" w:rsidR="006E1290" w:rsidRDefault="006E1290">
      <w:pPr>
        <w:spacing w:after="100"/>
      </w:pPr>
    </w:p>
    <w:p w14:paraId="7909B504" w14:textId="77777777" w:rsidR="006E1290" w:rsidRDefault="006E1290">
      <w:pPr>
        <w:spacing w:after="100"/>
      </w:pPr>
    </w:p>
    <w:p w14:paraId="04724874" w14:textId="77777777" w:rsidR="006E1290" w:rsidRDefault="00E87CD0">
      <w:pPr>
        <w:spacing w:after="200"/>
        <w:jc w:val="center"/>
      </w:pPr>
      <w:r>
        <w:rPr>
          <w:b/>
          <w:bCs/>
          <w:color w:val="1F3864"/>
          <w:sz w:val="52"/>
          <w:szCs w:val="52"/>
        </w:rPr>
        <w:t>Medication Adherence:</w:t>
      </w:r>
    </w:p>
    <w:p w14:paraId="2F523021" w14:textId="77777777" w:rsidR="006E1290" w:rsidRDefault="00E87CD0">
      <w:pPr>
        <w:spacing w:after="200"/>
        <w:jc w:val="center"/>
      </w:pPr>
      <w:r>
        <w:rPr>
          <w:b/>
          <w:bCs/>
          <w:color w:val="1F3864"/>
          <w:sz w:val="44"/>
          <w:szCs w:val="44"/>
        </w:rPr>
        <w:t>A Major Opportunity for Payers</w:t>
      </w:r>
    </w:p>
    <w:p w14:paraId="7F0D3F58" w14:textId="77777777" w:rsidR="006E1290" w:rsidRDefault="00E87CD0">
      <w:pPr>
        <w:spacing w:after="100"/>
        <w:jc w:val="center"/>
      </w:pPr>
      <w:r>
        <w:rPr>
          <w:color w:val="2E5090"/>
          <w:sz w:val="36"/>
          <w:szCs w:val="36"/>
        </w:rPr>
        <w:t>—</w:t>
      </w:r>
    </w:p>
    <w:p w14:paraId="3A441F9C" w14:textId="77777777" w:rsidR="006E1290" w:rsidRDefault="00E87CD0">
      <w:pPr>
        <w:spacing w:after="400"/>
        <w:jc w:val="center"/>
      </w:pPr>
      <w:r>
        <w:rPr>
          <w:color w:val="2E5090"/>
          <w:sz w:val="40"/>
          <w:szCs w:val="40"/>
        </w:rPr>
        <w:t xml:space="preserve">The </w:t>
      </w:r>
      <w:proofErr w:type="spellStart"/>
      <w:r>
        <w:rPr>
          <w:color w:val="2E5090"/>
          <w:sz w:val="40"/>
          <w:szCs w:val="40"/>
        </w:rPr>
        <w:t>AdherePod</w:t>
      </w:r>
      <w:proofErr w:type="spellEnd"/>
      <w:r>
        <w:rPr>
          <w:color w:val="2E5090"/>
          <w:sz w:val="40"/>
          <w:szCs w:val="40"/>
        </w:rPr>
        <w:t xml:space="preserve"> Solution</w:t>
      </w:r>
    </w:p>
    <w:p w14:paraId="627D7B43" w14:textId="77777777" w:rsidR="006E1290" w:rsidRDefault="006E1290">
      <w:pPr>
        <w:spacing w:after="100"/>
      </w:pPr>
    </w:p>
    <w:p w14:paraId="02EEA025" w14:textId="77777777" w:rsidR="006E1290" w:rsidRDefault="006E1290">
      <w:pPr>
        <w:spacing w:after="100"/>
      </w:pPr>
    </w:p>
    <w:p w14:paraId="17826703" w14:textId="77777777" w:rsidR="006E1290" w:rsidRDefault="006E1290">
      <w:pPr>
        <w:spacing w:after="100"/>
      </w:pPr>
    </w:p>
    <w:p w14:paraId="00B6A115" w14:textId="77777777" w:rsidR="006E1290" w:rsidRDefault="006E1290">
      <w:pPr>
        <w:spacing w:after="100"/>
      </w:pPr>
    </w:p>
    <w:p w14:paraId="794E5594" w14:textId="58AAC025" w:rsidR="006E1290" w:rsidRDefault="00184B45">
      <w:pPr>
        <w:spacing w:after="100"/>
        <w:jc w:val="center"/>
      </w:pPr>
      <w:r>
        <w:rPr>
          <w:i/>
          <w:iCs/>
          <w:color w:val="808080"/>
        </w:rPr>
        <w:t>REPLACE ME</w:t>
      </w:r>
    </w:p>
    <w:p w14:paraId="4D35FC63" w14:textId="77777777" w:rsidR="006E1290" w:rsidRDefault="00E87CD0">
      <w:r>
        <w:br w:type="page"/>
      </w:r>
    </w:p>
    <w:p w14:paraId="2B203D74" w14:textId="77777777" w:rsidR="006E1290" w:rsidRDefault="00E87CD0">
      <w:pPr>
        <w:pStyle w:val="Heading1"/>
      </w:pPr>
      <w:r>
        <w:lastRenderedPageBreak/>
        <w:t>The Cost of Poor Medication Adherence for Payers</w:t>
      </w:r>
    </w:p>
    <w:p w14:paraId="0EE25CAA" w14:textId="77777777" w:rsidR="006E1290" w:rsidRDefault="00E87CD0">
      <w:pPr>
        <w:spacing w:after="200" w:line="276" w:lineRule="auto"/>
      </w:pPr>
      <w:r>
        <w:t>Medication non-adherence – patients not taking prescriptions as directed – is a widespread and costly problem in healthcare. Only about half of patients with chronic diseases take their medications consistently as prescribed. The consequences are severe: non-adherence is estimated to contribute to at least 100,000 preventable deaths each year and adds over $100 billion in avoidable medical costs annually in the United States. When considering the full downstream impacts, including increased illness and mort</w:t>
      </w:r>
      <w:r>
        <w:t>ality, the total cost of poor adherence has been estimated at $528.4 billion per year. Non-adherence is also responsible for roughly 25% of U.S. hospitalizations each year, as patients who skip medications often suffer complications that lead to expensive acute care.</w:t>
      </w:r>
    </w:p>
    <w:p w14:paraId="1D09B137" w14:textId="77777777" w:rsidR="006E1290" w:rsidRDefault="00E87CD0">
      <w:pPr>
        <w:spacing w:after="200" w:line="276" w:lineRule="auto"/>
      </w:pPr>
      <w:r>
        <w:t>For health insurers and payers, this represents a massive opportunity for both cost savings and quality improvement. Analysts estimate that systematically addressing medication adherence could save $100–$300 billion in healthcare costs annually by preventing hospitalizations, complications, and disease progression. These savings directly benefit payers, who bear the cost of avoidable emergency visits, hospital stays, and advanced treatments when patients’ conditions worsen due to missed medications.</w:t>
      </w:r>
    </w:p>
    <w:p w14:paraId="17E03B16" w14:textId="77777777" w:rsidR="006E1290" w:rsidRDefault="00E87CD0">
      <w:pPr>
        <w:spacing w:after="200" w:line="276" w:lineRule="auto"/>
      </w:pPr>
      <w:r>
        <w:t>Payers are increasingly incentivized to improve adherence. In Medicare Advantage and Part D plans, medication adherence is a key quality metric. Between 2013 and 2018, Medicare plans avoided an estimated $27–$46.6 billion in healthcare costs thanks to improved adherence in just three drug classes: diabetes, hypertension, and cholesterol medications. Even small improvements can be meaningful – modest shifts in adherence can be the difference between three and four stars in Medicare’s five-star quality rating</w:t>
      </w:r>
      <w:r>
        <w:t>s. Achieving four or more stars earns plans significant bonus payments and enrollment advantages, creating a strong financial motive to boost members’ medication compliance.</w:t>
      </w:r>
    </w:p>
    <w:p w14:paraId="10478600" w14:textId="77777777" w:rsidR="006E1290" w:rsidRDefault="00E87CD0">
      <w:pPr>
        <w:spacing w:after="200" w:line="276" w:lineRule="auto"/>
      </w:pPr>
      <w:r>
        <w:t>In short, better medication use leads to healthier members and lower downstream costs by preventing hospitalizations and complications. This combination of avoided medical expenses and quality incentives makes medication adherence a multi-billion-dollar value proposition for payers.</w:t>
      </w:r>
    </w:p>
    <w:p w14:paraId="22EC5AA9" w14:textId="77777777" w:rsidR="006E1290" w:rsidRDefault="00E87CD0">
      <w:r>
        <w:br w:type="page"/>
      </w:r>
    </w:p>
    <w:p w14:paraId="605EC2C2" w14:textId="77777777" w:rsidR="006E1290" w:rsidRDefault="00E87CD0">
      <w:pPr>
        <w:pStyle w:val="Heading1"/>
      </w:pPr>
      <w:proofErr w:type="spellStart"/>
      <w:r>
        <w:lastRenderedPageBreak/>
        <w:t>AdherePod</w:t>
      </w:r>
      <w:proofErr w:type="spellEnd"/>
      <w:r>
        <w:t>: A Seamless Medication Adherence Solution</w:t>
      </w:r>
    </w:p>
    <w:p w14:paraId="2E62839D" w14:textId="77777777" w:rsidR="006E1290" w:rsidRDefault="00E87CD0">
      <w:pPr>
        <w:spacing w:after="200" w:line="276" w:lineRule="auto"/>
      </w:pPr>
      <w:proofErr w:type="spellStart"/>
      <w:r>
        <w:t>AdherePod</w:t>
      </w:r>
      <w:proofErr w:type="spellEnd"/>
      <w:r>
        <w:t xml:space="preserve"> is a hardware-enabled solution designed to dramatically improve medication adherence, especially for older and chronically ill patients. It is a smart in-home pill dispenser with an integrated screen, camera, and connectivity – engineered to make the entire experience as seamless as possible for the end user. The device works right out of the box with minimal setup, anticipating the needs and limitations of patients who may not be tech-savvy.</w:t>
      </w:r>
    </w:p>
    <w:p w14:paraId="145FF089" w14:textId="77777777" w:rsidR="006E1290" w:rsidRDefault="00E87CD0">
      <w:pPr>
        <w:spacing w:after="200" w:line="276" w:lineRule="auto"/>
      </w:pPr>
      <w:r>
        <w:t xml:space="preserve">For example, </w:t>
      </w:r>
      <w:proofErr w:type="spellStart"/>
      <w:r>
        <w:t>AdherePod</w:t>
      </w:r>
      <w:proofErr w:type="spellEnd"/>
      <w:r>
        <w:t xml:space="preserve"> can come with built-in cellular or satellite internet connectivity. If using Wi-Fi, it can automatically text the user’s phone to request the Wi-Fi password and configure itself, or even use voice commands, so the patient doesn’t have to struggle with manuals or apps to get it online. Once up and running, </w:t>
      </w:r>
      <w:proofErr w:type="spellStart"/>
      <w:r>
        <w:t>AdherePod</w:t>
      </w:r>
      <w:proofErr w:type="spellEnd"/>
      <w:r>
        <w:t xml:space="preserve"> serves as an all-in-one medication management assistant.</w:t>
      </w:r>
    </w:p>
    <w:p w14:paraId="3F9B6AB9" w14:textId="77777777" w:rsidR="006E1290" w:rsidRDefault="00E87CD0">
      <w:pPr>
        <w:pStyle w:val="Heading2"/>
        <w:spacing w:after="200"/>
      </w:pPr>
      <w:r>
        <w:t>Key Features</w:t>
      </w:r>
    </w:p>
    <w:p w14:paraId="485A0277" w14:textId="77777777" w:rsidR="006E1290" w:rsidRDefault="00E87CD0">
      <w:pPr>
        <w:pStyle w:val="Heading3"/>
        <w:spacing w:before="240" w:after="200"/>
      </w:pPr>
      <w:r>
        <w:t>Effortless Medication Enrollment</w:t>
      </w:r>
    </w:p>
    <w:p w14:paraId="401D5F1B" w14:textId="77777777" w:rsidR="006E1290" w:rsidRDefault="00E87CD0">
      <w:pPr>
        <w:spacing w:after="200" w:line="276" w:lineRule="auto"/>
      </w:pPr>
      <w:r>
        <w:t xml:space="preserve">Using its built-in camera, </w:t>
      </w:r>
      <w:proofErr w:type="spellStart"/>
      <w:r>
        <w:t>AdherePod</w:t>
      </w:r>
      <w:proofErr w:type="spellEnd"/>
      <w:r>
        <w:t xml:space="preserve"> can scan the label of a prescription bottle that a patient holds up to it. The system uses optical recognition to identify the medication name and dosage instructions, automatically adding that drug to the patient’s regimen. This saves the user from having to manually input their medication schedule and reduces errors, ensuring the device knows exactly what the medication is and when it should be taken.</w:t>
      </w:r>
    </w:p>
    <w:p w14:paraId="41D65A69" w14:textId="77777777" w:rsidR="006E1290" w:rsidRDefault="00E87CD0">
      <w:pPr>
        <w:pStyle w:val="Heading3"/>
        <w:spacing w:before="240" w:after="200"/>
      </w:pPr>
      <w:r>
        <w:t>Automated Dispensing and Smart Reminders</w:t>
      </w:r>
    </w:p>
    <w:p w14:paraId="5757528C" w14:textId="77777777" w:rsidR="006E1290" w:rsidRDefault="00E87CD0">
      <w:pPr>
        <w:spacing w:after="200" w:line="276" w:lineRule="auto"/>
      </w:pPr>
      <w:proofErr w:type="spellStart"/>
      <w:r>
        <w:t>AdherePod</w:t>
      </w:r>
      <w:proofErr w:type="spellEnd"/>
      <w:r>
        <w:t xml:space="preserve"> physically stores and dispenses pills at scheduled times. When it’s time for a dose, the device alerts the patient via a chime or voice prompt and a notification on the screen. If the patient doesn’t take the pill from the dispenser, </w:t>
      </w:r>
      <w:proofErr w:type="spellStart"/>
      <w:r>
        <w:t>AdherePod</w:t>
      </w:r>
      <w:proofErr w:type="spellEnd"/>
      <w:r>
        <w:t xml:space="preserve"> can send a text message or automated phone call as a reminder. Research has shown that text message reminders can double the odds of a patient taking medications as prescribed. By ensuring timely dosing, </w:t>
      </w:r>
      <w:proofErr w:type="spellStart"/>
      <w:r>
        <w:t>AdherePod</w:t>
      </w:r>
      <w:proofErr w:type="spellEnd"/>
      <w:r>
        <w:t xml:space="preserve"> helps prevent missed doses or double-dosing confusion</w:t>
      </w:r>
      <w:r>
        <w:t>. It can also notify a caregiver or family member if doses are missed, providing an added layer of support.</w:t>
      </w:r>
    </w:p>
    <w:p w14:paraId="4C06ADFC" w14:textId="77777777" w:rsidR="006E1290" w:rsidRDefault="00E87CD0">
      <w:pPr>
        <w:pStyle w:val="Heading3"/>
        <w:spacing w:before="240" w:after="200"/>
      </w:pPr>
      <w:r>
        <w:t>Personalized Guidance and Education</w:t>
      </w:r>
    </w:p>
    <w:p w14:paraId="374D7051" w14:textId="77777777" w:rsidR="006E1290" w:rsidRDefault="00E87CD0">
      <w:pPr>
        <w:spacing w:after="200" w:line="276" w:lineRule="auto"/>
      </w:pPr>
      <w:r>
        <w:t xml:space="preserve">Many patients struggle with how to take their medications – whether to take them with food, whether it’s safe to combine certain pills, and so on. </w:t>
      </w:r>
      <w:proofErr w:type="spellStart"/>
      <w:r>
        <w:t>AdherePod</w:t>
      </w:r>
      <w:proofErr w:type="spellEnd"/>
      <w:r>
        <w:t xml:space="preserve"> acts as a friendly medication coach. Its screen displays simple instructions, including large text for the visually impaired, and its voice assistant can speak directly to the patient. Upon dispensing a pill, </w:t>
      </w:r>
      <w:proofErr w:type="spellStart"/>
      <w:r>
        <w:t>AdherePod</w:t>
      </w:r>
      <w:proofErr w:type="spellEnd"/>
      <w:r>
        <w:t xml:space="preserve"> might say: “It’s time to take your Metformin. Remember to take it with a meal.” The device can also answer basic questions and give reminders about avoiding certain interactions or watching for side effects. By providing </w:t>
      </w:r>
      <w:proofErr w:type="gramStart"/>
      <w:r>
        <w:t>this real</w:t>
      </w:r>
      <w:proofErr w:type="gramEnd"/>
      <w:r>
        <w:t xml:space="preserve">-time guidance, </w:t>
      </w:r>
      <w:proofErr w:type="spellStart"/>
      <w:r>
        <w:t>AdherePod</w:t>
      </w:r>
      <w:proofErr w:type="spellEnd"/>
      <w:r>
        <w:t xml:space="preserve"> helps eliminate confusion, </w:t>
      </w:r>
      <w:r>
        <w:t>which is a known barrier to adherence.</w:t>
      </w:r>
    </w:p>
    <w:p w14:paraId="30DAB01D" w14:textId="77777777" w:rsidR="006E1290" w:rsidRDefault="00E87CD0">
      <w:pPr>
        <w:pStyle w:val="Heading3"/>
        <w:spacing w:before="240" w:after="200"/>
      </w:pPr>
      <w:r>
        <w:t>Refill Coordination with Pharmacies</w:t>
      </w:r>
    </w:p>
    <w:p w14:paraId="50A31676" w14:textId="77777777" w:rsidR="006E1290" w:rsidRDefault="00E87CD0">
      <w:pPr>
        <w:spacing w:after="200" w:line="276" w:lineRule="auto"/>
      </w:pPr>
      <w:r>
        <w:lastRenderedPageBreak/>
        <w:t xml:space="preserve">Running out of a medication is a common cause of non-adherence. </w:t>
      </w:r>
      <w:proofErr w:type="spellStart"/>
      <w:r>
        <w:t>AdherePod</w:t>
      </w:r>
      <w:proofErr w:type="spellEnd"/>
      <w:r>
        <w:t xml:space="preserve"> takes on the logistics of refills by tracking how many doses remain. When a medication is running low, it can automatically contact the patient’s pharmacy or mail-order service to request a refill through an internet API integration or by placing an automated call. It can check the number of refills remaining on the prescription and alert the patient ahead of time if a doctor’s renewal is needed. By proactively handling refills, </w:t>
      </w:r>
      <w:proofErr w:type="spellStart"/>
      <w:r>
        <w:t>AdherePod</w:t>
      </w:r>
      <w:proofErr w:type="spellEnd"/>
      <w:r>
        <w:t xml:space="preserve"> ensures patients don’t unintentionally lapse in therapy.</w:t>
      </w:r>
    </w:p>
    <w:p w14:paraId="1BA1831D" w14:textId="77777777" w:rsidR="006E1290" w:rsidRDefault="00E87CD0">
      <w:pPr>
        <w:pStyle w:val="Heading3"/>
        <w:spacing w:before="240" w:after="200"/>
      </w:pPr>
      <w:r>
        <w:t>Price Shopping and Cost Savings</w:t>
      </w:r>
    </w:p>
    <w:p w14:paraId="1E2FA5A3" w14:textId="77777777" w:rsidR="006E1290" w:rsidRDefault="00E87CD0">
      <w:pPr>
        <w:spacing w:after="200" w:line="276" w:lineRule="auto"/>
      </w:pPr>
      <w:r>
        <w:t xml:space="preserve">Cost is the leading factor behind many patients’ failure to take medications. </w:t>
      </w:r>
      <w:proofErr w:type="spellStart"/>
      <w:r>
        <w:t>AdherePod</w:t>
      </w:r>
      <w:proofErr w:type="spellEnd"/>
      <w:r>
        <w:t xml:space="preserve"> helps address this by finding cheaper options. The device can link to services that compare drug prices at local and online pharmacies or apply discount programs. For example, if a patient’s brand-name medication is expensive, </w:t>
      </w:r>
      <w:proofErr w:type="spellStart"/>
      <w:r>
        <w:t>AdherePod</w:t>
      </w:r>
      <w:proofErr w:type="spellEnd"/>
      <w:r>
        <w:t xml:space="preserve"> might suggest: “Your medication costs $100 at Pharmacy A but only $50 at Pharmacy B nearby. Would you like us to transfer your prescription?” It could also alert patients to generic alternatives or patient assistance programs. By reducing the financial burden of me</w:t>
      </w:r>
      <w:r>
        <w:t>dications, this feature tackles a major root cause of non-adherence. Any savings found benefit both the patient and the payer.</w:t>
      </w:r>
    </w:p>
    <w:p w14:paraId="24F2173D" w14:textId="77777777" w:rsidR="006E1290" w:rsidRDefault="00E87CD0">
      <w:pPr>
        <w:pStyle w:val="Heading3"/>
        <w:spacing w:before="240" w:after="200"/>
      </w:pPr>
      <w:r>
        <w:t>Integration with Providers and Prior Authorization</w:t>
      </w:r>
    </w:p>
    <w:p w14:paraId="76723B66" w14:textId="77777777" w:rsidR="006E1290" w:rsidRDefault="00E87CD0">
      <w:pPr>
        <w:spacing w:after="200" w:line="276" w:lineRule="auto"/>
      </w:pPr>
      <w:r>
        <w:t xml:space="preserve">Some adherence issues require coordination with healthcare providers, such as when a prescription expires or needs prior authorization for more refills. </w:t>
      </w:r>
      <w:proofErr w:type="spellStart"/>
      <w:r>
        <w:t>AdherePod</w:t>
      </w:r>
      <w:proofErr w:type="spellEnd"/>
      <w:r>
        <w:t xml:space="preserve"> can streamline these tasks by notifying the doctor’s office that a patient needs a new prescription or prior authorization approval, sending the necessary details electronically. If needed, </w:t>
      </w:r>
      <w:proofErr w:type="spellStart"/>
      <w:r>
        <w:t>AdherePod</w:t>
      </w:r>
      <w:proofErr w:type="spellEnd"/>
      <w:r>
        <w:t xml:space="preserve"> will notify the patient and offer to facilitate a call to the doctor’s office. This concierge function relieves patients – especially those with cognitive or energy limitations – from the burden of paperwork and phone tag, further smoothing the adherence journey.</w:t>
      </w:r>
    </w:p>
    <w:p w14:paraId="175DB9C2" w14:textId="77777777" w:rsidR="006E1290" w:rsidRDefault="00E87CD0">
      <w:pPr>
        <w:pStyle w:val="Heading3"/>
        <w:spacing w:before="240" w:after="200"/>
      </w:pPr>
      <w:r>
        <w:t>Data Analytics and Reporting</w:t>
      </w:r>
    </w:p>
    <w:p w14:paraId="01AC0B24" w14:textId="77777777" w:rsidR="006E1290" w:rsidRDefault="00E87CD0">
      <w:pPr>
        <w:spacing w:after="200" w:line="276" w:lineRule="auto"/>
      </w:pPr>
      <w:r>
        <w:t xml:space="preserve">Because </w:t>
      </w:r>
      <w:proofErr w:type="spellStart"/>
      <w:r>
        <w:t>AdherePod</w:t>
      </w:r>
      <w:proofErr w:type="spellEnd"/>
      <w:r>
        <w:t xml:space="preserve"> tracks every dose, it creates a rich dataset on actual medication-taking behavior. With appropriate privacy safeguards, this adherence data is extremely valuable to payers and providers. Care managers can be alerted in real time if a patient is repeatedly missing doses, allowing timely intervention. Over time, data on which patients struggle most with adherence can help insurers target additional support or disease management programs. </w:t>
      </w:r>
      <w:proofErr w:type="spellStart"/>
      <w:r>
        <w:t>AdherePod</w:t>
      </w:r>
      <w:proofErr w:type="spellEnd"/>
      <w:r>
        <w:t xml:space="preserve"> can also generate reports for physicians, so at appo</w:t>
      </w:r>
      <w:r>
        <w:t>intments the doctor can see the patient’s recent adherence trends and adjust treatment accordingly.</w:t>
      </w:r>
    </w:p>
    <w:p w14:paraId="40341861" w14:textId="77777777" w:rsidR="006E1290" w:rsidRDefault="00E87CD0">
      <w:pPr>
        <w:spacing w:after="200" w:line="276" w:lineRule="auto"/>
      </w:pPr>
      <w:r>
        <w:t xml:space="preserve">As more direct-to-consumer medications emerge – such as certain GLP-1 weight-loss drugs that patients often pay for out of pocket – payers currently lack visibility into whether those drugs are being taken, because they don’t appear in insurance claims. </w:t>
      </w:r>
      <w:proofErr w:type="spellStart"/>
      <w:r>
        <w:t>AdherePod</w:t>
      </w:r>
      <w:proofErr w:type="spellEnd"/>
      <w:r>
        <w:t xml:space="preserve"> fills this gap by capturing usage data for all medications a patient takes, not just those billed to insurance. One major insurer’s analysis found that only 22% of its members had insurance coverage for GLP-1 weight-loss drugs, meaning the majority who use these medications do so outside their health plan. </w:t>
      </w:r>
      <w:proofErr w:type="spellStart"/>
      <w:r>
        <w:t>AdherePod’s</w:t>
      </w:r>
      <w:proofErr w:type="spellEnd"/>
      <w:r>
        <w:t xml:space="preserve"> monitoring of such medications </w:t>
      </w:r>
      <w:r>
        <w:lastRenderedPageBreak/>
        <w:t>could inform payers about adherence and outcomes for therapies they otherwise wouldn’t see. In aggregate, anonymized adherence data could be made avail</w:t>
      </w:r>
      <w:r>
        <w:t>able to pharmaceutical companies or researchers interested in real-world medication usage patterns, creating a potential revenue stream while improving healthcare insights.</w:t>
      </w:r>
    </w:p>
    <w:p w14:paraId="299812D7" w14:textId="77777777" w:rsidR="006E1290" w:rsidRDefault="00E87CD0">
      <w:r>
        <w:br w:type="page"/>
      </w:r>
    </w:p>
    <w:p w14:paraId="4A17852A" w14:textId="77777777" w:rsidR="006E1290" w:rsidRDefault="00E87CD0">
      <w:pPr>
        <w:pStyle w:val="Heading2"/>
        <w:spacing w:after="200"/>
      </w:pPr>
      <w:r>
        <w:lastRenderedPageBreak/>
        <w:t>Design Philosophy and Early Evidence</w:t>
      </w:r>
    </w:p>
    <w:p w14:paraId="035C8BE8" w14:textId="77777777" w:rsidR="006E1290" w:rsidRDefault="00E87CD0">
      <w:pPr>
        <w:spacing w:after="200" w:line="276" w:lineRule="auto"/>
      </w:pPr>
      <w:proofErr w:type="spellStart"/>
      <w:r>
        <w:t>AdherePod’s</w:t>
      </w:r>
      <w:proofErr w:type="spellEnd"/>
      <w:r>
        <w:t xml:space="preserve"> design directly addresses the known barriers to medication adherence: it simplifies complex regimens, provides reminders and education, reduces cost hurdles, and bridges communication gaps between patients, pharmacies, and doctors. The entire user experience is designed to be plug-and-play – once the device is plugged in, the patient essentially has a personal medication assistant managing the routine.</w:t>
      </w:r>
    </w:p>
    <w:p w14:paraId="106FE920" w14:textId="77777777" w:rsidR="006E1290" w:rsidRDefault="00E87CD0">
      <w:pPr>
        <w:spacing w:after="200" w:line="276" w:lineRule="auto"/>
      </w:pPr>
      <w:r>
        <w:t>Early evidence from similar devices demonstrates this approach can yield outstanding results. In a recent pilot study, a group of older adults with an average age of approximately 66 using a smart dispenser achieved an average adherence rate of 98% over six months – near-perfect adherence. Over 90% of participants rated the device as easy and simple to use, demonstrating that with thoughtful design, seniors can comfortably adopt high-tech solutions. By delivering medications on schedule and keeping patients</w:t>
      </w:r>
      <w:r>
        <w:t xml:space="preserve"> engaged, </w:t>
      </w:r>
      <w:proofErr w:type="spellStart"/>
      <w:r>
        <w:t>AdherePod</w:t>
      </w:r>
      <w:proofErr w:type="spellEnd"/>
      <w:r>
        <w:t xml:space="preserve"> can significantly boost adherence rates, leading to better health outcomes and lower healthcare costs.</w:t>
      </w:r>
    </w:p>
    <w:p w14:paraId="304F19B0" w14:textId="77777777" w:rsidR="006E1290" w:rsidRDefault="00E87CD0">
      <w:r>
        <w:br w:type="page"/>
      </w:r>
    </w:p>
    <w:p w14:paraId="65993D17" w14:textId="77777777" w:rsidR="006E1290" w:rsidRDefault="00E87CD0">
      <w:pPr>
        <w:pStyle w:val="Heading1"/>
      </w:pPr>
      <w:r>
        <w:lastRenderedPageBreak/>
        <w:t>Leveraging Federal Rural Health Funding</w:t>
      </w:r>
    </w:p>
    <w:p w14:paraId="42C9987C" w14:textId="77777777" w:rsidR="006E1290" w:rsidRDefault="00E87CD0">
      <w:pPr>
        <w:spacing w:after="200" w:line="276" w:lineRule="auto"/>
      </w:pPr>
      <w:r>
        <w:t xml:space="preserve">To accelerate </w:t>
      </w:r>
      <w:proofErr w:type="spellStart"/>
      <w:r>
        <w:t>AdherePod’s</w:t>
      </w:r>
      <w:proofErr w:type="spellEnd"/>
      <w:r>
        <w:t xml:space="preserve"> impact and business growth, we can tap into new federal funding targeted at improving healthcare in underserved areas. In late 2025, the Centers for Medicare &amp; Medicaid Services (CMS) announced the Rural Health Transformation Program, a $50 billion initiative aimed at strengthening and modernizing healthcare in rural communities. This program will distribute funds over five years (2026–2030) to all 50 states – roughly $10 billion per year, with each state receiving an annual award of approximate</w:t>
      </w:r>
      <w:r>
        <w:t>ly $100–$280 million in the first year to support rural health improvements.</w:t>
      </w:r>
    </w:p>
    <w:p w14:paraId="4AEBB3EC" w14:textId="77777777" w:rsidR="006E1290" w:rsidRDefault="00E87CD0">
      <w:pPr>
        <w:spacing w:after="200" w:line="276" w:lineRule="auto"/>
      </w:pPr>
      <w:r>
        <w:t xml:space="preserve">One of the stated uses of this funding is to upgrade technology and care delivery models in rural areas. CMS has explicitly highlighted that states can use Rural Transformation dollars to modernize rural health infrastructure and technology and to expand telehealth, remote patient monitoring, and digital tools that enable timely access to care. </w:t>
      </w:r>
      <w:proofErr w:type="spellStart"/>
      <w:r>
        <w:t>AdherePod</w:t>
      </w:r>
      <w:proofErr w:type="spellEnd"/>
      <w:r>
        <w:t xml:space="preserve"> aligns directly with these goals.</w:t>
      </w:r>
    </w:p>
    <w:p w14:paraId="4F624DA2" w14:textId="77777777" w:rsidR="006E1290" w:rsidRDefault="00E87CD0">
      <w:pPr>
        <w:pStyle w:val="Heading2"/>
        <w:spacing w:after="200"/>
      </w:pPr>
      <w:r>
        <w:t>Strategic Alignment with Rural Health Priorities</w:t>
      </w:r>
    </w:p>
    <w:p w14:paraId="09492515" w14:textId="77777777" w:rsidR="006E1290" w:rsidRDefault="00E87CD0">
      <w:pPr>
        <w:pStyle w:val="Heading3"/>
        <w:spacing w:before="240" w:after="200"/>
      </w:pPr>
      <w:r>
        <w:t>Expanding Access for Rural Patients</w:t>
      </w:r>
    </w:p>
    <w:p w14:paraId="56205950" w14:textId="77777777" w:rsidR="006E1290" w:rsidRDefault="00E87CD0">
      <w:pPr>
        <w:spacing w:after="200" w:line="276" w:lineRule="auto"/>
      </w:pPr>
      <w:r>
        <w:t xml:space="preserve">Rural populations often face geographic barriers – the nearest clinic or pharmacy may be far away, and transportation can be difficult for elderly or disabled patients. </w:t>
      </w:r>
      <w:proofErr w:type="spellStart"/>
      <w:r>
        <w:t>AdherePod</w:t>
      </w:r>
      <w:proofErr w:type="spellEnd"/>
      <w:r>
        <w:t xml:space="preserve"> helps bring healthcare into the home by dispensing medications on-site and providing telehealth-like support. It ensures patients in remote locations can manage their treatments without constant travel, supporting the program’s aim to bring more care within reach of rural Americans. An </w:t>
      </w:r>
      <w:proofErr w:type="spellStart"/>
      <w:r>
        <w:t>AdherePod</w:t>
      </w:r>
      <w:proofErr w:type="spellEnd"/>
      <w:r>
        <w:t xml:space="preserve"> in a rural household serves as a compact pharmacy and health assistant, bridging gaps in access.</w:t>
      </w:r>
    </w:p>
    <w:p w14:paraId="320F453A" w14:textId="77777777" w:rsidR="006E1290" w:rsidRDefault="00E87CD0">
      <w:pPr>
        <w:pStyle w:val="Heading3"/>
        <w:spacing w:before="240" w:after="200"/>
      </w:pPr>
      <w:r>
        <w:t>Remote Patient Monitoring and Early Intervention</w:t>
      </w:r>
    </w:p>
    <w:p w14:paraId="0EDFA2E2" w14:textId="77777777" w:rsidR="006E1290" w:rsidRDefault="00E87CD0">
      <w:pPr>
        <w:spacing w:after="200" w:line="276" w:lineRule="auto"/>
      </w:pPr>
      <w:r>
        <w:t xml:space="preserve">Because </w:t>
      </w:r>
      <w:proofErr w:type="spellStart"/>
      <w:r>
        <w:t>AdherePod</w:t>
      </w:r>
      <w:proofErr w:type="spellEnd"/>
      <w:r>
        <w:t xml:space="preserve"> reports in real time whether a patient is taking their medications, healthcare providers can use it as a remote monitoring tool. A rural health clinic could deploy </w:t>
      </w:r>
      <w:proofErr w:type="spellStart"/>
      <w:r>
        <w:t>AdherePods</w:t>
      </w:r>
      <w:proofErr w:type="spellEnd"/>
      <w:r>
        <w:t xml:space="preserve"> to patients with chronic conditions such as heart failure or diabetes and receive alerts if those patients miss critical medications. This enables a nurse or care manager to follow up quickly, potentially preventing an ER visit or hospitalization. Such treat-in-place and early intervention capabilities are exactly what rural </w:t>
      </w:r>
      <w:r>
        <w:t xml:space="preserve">health initiatives aim to promote. Keeping patients healthy at home reduces strain on rural hospitals, and </w:t>
      </w:r>
      <w:proofErr w:type="spellStart"/>
      <w:r>
        <w:t>AdherePod</w:t>
      </w:r>
      <w:proofErr w:type="spellEnd"/>
      <w:r>
        <w:t xml:space="preserve"> data could integrate with statewide health information exchanges to flag adherence issues across the rural population.</w:t>
      </w:r>
    </w:p>
    <w:p w14:paraId="34785F4A" w14:textId="77777777" w:rsidR="006E1290" w:rsidRDefault="00E87CD0">
      <w:pPr>
        <w:pStyle w:val="Heading3"/>
        <w:spacing w:before="240" w:after="200"/>
      </w:pPr>
      <w:r>
        <w:t>Supporting the Rural Healthcare Workforce</w:t>
      </w:r>
    </w:p>
    <w:p w14:paraId="08EC73A7" w14:textId="77777777" w:rsidR="006E1290" w:rsidRDefault="00E87CD0">
      <w:pPr>
        <w:spacing w:after="200" w:line="276" w:lineRule="auto"/>
      </w:pPr>
      <w:r>
        <w:t xml:space="preserve">Many rural areas are grappling with shortages of healthcare professionals. By automating routine tasks – medication dispensing, adherence tracking, and refill coordination – </w:t>
      </w:r>
      <w:proofErr w:type="spellStart"/>
      <w:r>
        <w:t>AdherePod</w:t>
      </w:r>
      <w:proofErr w:type="spellEnd"/>
      <w:r>
        <w:t xml:space="preserve"> can reduce the workload on rural pharmacists, nurses, and doctors. Instead of a nurse spending time each week calling patients to check if they took their medications, </w:t>
      </w:r>
      <w:proofErr w:type="spellStart"/>
      <w:r>
        <w:t>AdherePod</w:t>
      </w:r>
      <w:proofErr w:type="spellEnd"/>
      <w:r>
        <w:t xml:space="preserve"> handles day-to-day prompts and flags the nurse only when there’s an issue. This makes care delivery more efficient, helping stretched rural providers extend their reach. The federal funding priorities include reducing burdens on clinicians </w:t>
      </w:r>
      <w:r>
        <w:lastRenderedPageBreak/>
        <w:t xml:space="preserve">through technology and digital tools, and </w:t>
      </w:r>
      <w:proofErr w:type="spellStart"/>
      <w:r>
        <w:t>AdherePod</w:t>
      </w:r>
      <w:proofErr w:type="spellEnd"/>
      <w:r>
        <w:t xml:space="preserve"> fits that mandate by taking over</w:t>
      </w:r>
      <w:r>
        <w:t xml:space="preserve"> routine medication management tasks.</w:t>
      </w:r>
    </w:p>
    <w:p w14:paraId="721D7201" w14:textId="77777777" w:rsidR="006E1290" w:rsidRDefault="00E87CD0">
      <w:pPr>
        <w:pStyle w:val="Heading3"/>
        <w:spacing w:before="240" w:after="200"/>
      </w:pPr>
      <w:r>
        <w:t>Innovative Care Models and Value-Based Care</w:t>
      </w:r>
    </w:p>
    <w:p w14:paraId="6EAB943C" w14:textId="77777777" w:rsidR="006E1290" w:rsidRDefault="00E87CD0">
      <w:pPr>
        <w:spacing w:after="200" w:line="276" w:lineRule="auto"/>
      </w:pPr>
      <w:r>
        <w:t xml:space="preserve">States receiving </w:t>
      </w:r>
      <w:proofErr w:type="gramStart"/>
      <w:r>
        <w:t>the rural</w:t>
      </w:r>
      <w:proofErr w:type="gramEnd"/>
      <w:r>
        <w:t xml:space="preserve"> health funds are encouraged to pilot new care models and payment models that improve outcomes. </w:t>
      </w:r>
      <w:proofErr w:type="spellStart"/>
      <w:r>
        <w:t>AdherePod</w:t>
      </w:r>
      <w:proofErr w:type="spellEnd"/>
      <w:r>
        <w:t xml:space="preserve"> could be incorporated into value-based care programs in rural areas – for example, a Medicare Advantage plan or an Accountable Care Organization operating in rural counties might distribute </w:t>
      </w:r>
      <w:proofErr w:type="spellStart"/>
      <w:r>
        <w:t>AdherePods</w:t>
      </w:r>
      <w:proofErr w:type="spellEnd"/>
      <w:r>
        <w:t xml:space="preserve"> to high-risk patients. The improved adherence would likely lead to fewer hospital admissions and better chronic disease metrics, helping these organizations achieve quality targets and shared savi</w:t>
      </w:r>
      <w:r>
        <w:t xml:space="preserve">ngs. The upfront cost of the devices could be covered by rural funding as part of an innovation or pilot project, given </w:t>
      </w:r>
      <w:proofErr w:type="gramStart"/>
      <w:r>
        <w:t>the</w:t>
      </w:r>
      <w:proofErr w:type="gramEnd"/>
      <w:r>
        <w:t xml:space="preserve"> clear connection to improved patient outcomes.</w:t>
      </w:r>
    </w:p>
    <w:p w14:paraId="4762B603" w14:textId="77777777" w:rsidR="006E1290" w:rsidRDefault="00E87CD0">
      <w:pPr>
        <w:pStyle w:val="Heading2"/>
        <w:spacing w:after="200"/>
      </w:pPr>
      <w:r>
        <w:t>Accessing the Funding</w:t>
      </w:r>
    </w:p>
    <w:p w14:paraId="30ED6071" w14:textId="77777777" w:rsidR="006E1290" w:rsidRDefault="00E87CD0">
      <w:pPr>
        <w:spacing w:after="200" w:line="276" w:lineRule="auto"/>
      </w:pPr>
      <w:r>
        <w:t xml:space="preserve">To tap into this opportunity, </w:t>
      </w:r>
      <w:proofErr w:type="spellStart"/>
      <w:r>
        <w:t>AdherePod’s</w:t>
      </w:r>
      <w:proofErr w:type="spellEnd"/>
      <w:r>
        <w:t xml:space="preserve"> strategy would involve working with state health departments and rural healthcare consortia. Every state has submitted a plan for how it intends to use its Rural Transformation allotment. We should identify states that emphasized digital health, telemedicine, or chronic disease management in their proposals – those states are ideal partners for a pilot deployment.</w:t>
      </w:r>
    </w:p>
    <w:p w14:paraId="1D99903E" w14:textId="77777777" w:rsidR="006E1290" w:rsidRDefault="00E87CD0">
      <w:pPr>
        <w:spacing w:after="200" w:line="276" w:lineRule="auto"/>
      </w:pPr>
      <w:r>
        <w:t xml:space="preserve">For instance, a state could allocate a portion of its approximately $200 million yearly grant to provide 5,000 </w:t>
      </w:r>
      <w:proofErr w:type="spellStart"/>
      <w:r>
        <w:t>AdherePod</w:t>
      </w:r>
      <w:proofErr w:type="spellEnd"/>
      <w:r>
        <w:t xml:space="preserve"> units to rural residents with high medication burdens, such as seniors on multiple prescriptions. We could also partner with rural hospitals or federally qualified health centers (FQHCs), which might apply for sub-grants or state-level programs funded by this initiative. By demonstrating that </w:t>
      </w:r>
      <w:proofErr w:type="spellStart"/>
      <w:r>
        <w:t>AdherePod</w:t>
      </w:r>
      <w:proofErr w:type="spellEnd"/>
      <w:r>
        <w:t xml:space="preserve"> can improve medication adherence and health outcomes in their community, those providers make a strong case for funding under the innovation and modernization umbrellas of the program.</w:t>
      </w:r>
    </w:p>
    <w:p w14:paraId="273F4F0D" w14:textId="77777777" w:rsidR="006E1290" w:rsidRDefault="00E87CD0">
      <w:pPr>
        <w:spacing w:after="200" w:line="276" w:lineRule="auto"/>
      </w:pPr>
      <w:r>
        <w:t xml:space="preserve">All 50 states are receiving some funding, so the market for rural-focused solutions is nationwide. Some less-populous states may have smaller absolute grants but could invest more per capita; others with large rural populations have the biggest allocations. There is broad bipartisan support for investing in rural health, so we anticipate sustained political will to make these projects successful. By aligning </w:t>
      </w:r>
      <w:proofErr w:type="spellStart"/>
      <w:r>
        <w:t>AdherePod</w:t>
      </w:r>
      <w:proofErr w:type="spellEnd"/>
      <w:r>
        <w:t xml:space="preserve"> with these public health goals, we not only unlock grant funding but also gain credibility and a pathway to scale. Successful state-funded pilots could lead to larger contracts or insurance reimbursement for the device as a covered benefit in rural health plans.</w:t>
      </w:r>
    </w:p>
    <w:p w14:paraId="42C865DD" w14:textId="77777777" w:rsidR="006E1290" w:rsidRDefault="00E87CD0">
      <w:r>
        <w:br w:type="page"/>
      </w:r>
    </w:p>
    <w:p w14:paraId="1CF89558" w14:textId="77777777" w:rsidR="006E1290" w:rsidRDefault="00E87CD0">
      <w:pPr>
        <w:pStyle w:val="Heading1"/>
      </w:pPr>
      <w:r>
        <w:lastRenderedPageBreak/>
        <w:t>Conclusion</w:t>
      </w:r>
    </w:p>
    <w:p w14:paraId="07862471" w14:textId="77777777" w:rsidR="006E1290" w:rsidRDefault="00E87CD0">
      <w:pPr>
        <w:spacing w:after="200" w:line="276" w:lineRule="auto"/>
      </w:pPr>
      <w:r>
        <w:t xml:space="preserve">Medication adherence is both a profound healthcare challenge and a fertile opportunity for innovation. For payers, the stakes are enormous – hundreds of billions of dollars are wasted each year on avoidable complications of non-adherence, while improved adherence translates directly into better patient outcomes and lower costs. </w:t>
      </w:r>
      <w:proofErr w:type="spellStart"/>
      <w:r>
        <w:t>AdherePod</w:t>
      </w:r>
      <w:proofErr w:type="spellEnd"/>
      <w:r>
        <w:t xml:space="preserve"> is positioned to solve this problem at scale by providing patients with an easy-to-use, nearly hands-free system that ensures they take their treatments properly.</w:t>
      </w:r>
    </w:p>
    <w:p w14:paraId="4030C3DD" w14:textId="77777777" w:rsidR="006E1290" w:rsidRDefault="00E87CD0">
      <w:pPr>
        <w:spacing w:after="200" w:line="276" w:lineRule="auto"/>
      </w:pPr>
      <w:r>
        <w:t xml:space="preserve">By tackling the practical barriers – forgetfulness, complexity, cost, and access – </w:t>
      </w:r>
      <w:proofErr w:type="spellStart"/>
      <w:r>
        <w:t>AdherePod</w:t>
      </w:r>
      <w:proofErr w:type="spellEnd"/>
      <w:r>
        <w:t xml:space="preserve"> can significantly raise adherence rates, meaning fewer hospital visits and healthier, more stable members for insurers. In an era where healthcare is shifting to value-based models, this is exactly the kind of solution that payers are eager to support.</w:t>
      </w:r>
    </w:p>
    <w:p w14:paraId="29D6D3B2" w14:textId="77777777" w:rsidR="006E1290" w:rsidRDefault="00E87CD0">
      <w:pPr>
        <w:spacing w:after="200" w:line="276" w:lineRule="auto"/>
      </w:pPr>
      <w:r>
        <w:t xml:space="preserve">The timing for </w:t>
      </w:r>
      <w:proofErr w:type="spellStart"/>
      <w:r>
        <w:t>AdherePod’s</w:t>
      </w:r>
      <w:proofErr w:type="spellEnd"/>
      <w:r>
        <w:t xml:space="preserve"> launch is advantageous. With $50 billion in new federal funding flowing into modernizing healthcare for rural and underserved communities, there is a ready avenue to finance deployment of this technology where it’s needed most. These public investments can de-risk and accelerate </w:t>
      </w:r>
      <w:proofErr w:type="spellStart"/>
      <w:r>
        <w:t>AdherePod’s</w:t>
      </w:r>
      <w:proofErr w:type="spellEnd"/>
      <w:r>
        <w:t xml:space="preserve"> rollout, allowing us to demonstrate real-world impact on patient outcomes and healthcare costs. By leveraging these programs, </w:t>
      </w:r>
      <w:proofErr w:type="spellStart"/>
      <w:r>
        <w:t>AdherePod</w:t>
      </w:r>
      <w:proofErr w:type="spellEnd"/>
      <w:r>
        <w:t xml:space="preserve"> could quickly become an integral part of rural healthcare delivery and b</w:t>
      </w:r>
      <w:r>
        <w:t>eyond, supported by government and payer stakeholders alike.</w:t>
      </w:r>
    </w:p>
    <w:p w14:paraId="31842869" w14:textId="77777777" w:rsidR="006E1290" w:rsidRDefault="00E87CD0">
      <w:pPr>
        <w:spacing w:after="200" w:line="276" w:lineRule="auto"/>
      </w:pPr>
      <w:r>
        <w:t xml:space="preserve">Improving medication adherence represents a multi-billion-dollar opportunity for healthcare payers, and </w:t>
      </w:r>
      <w:proofErr w:type="spellStart"/>
      <w:r>
        <w:t>AdherePod</w:t>
      </w:r>
      <w:proofErr w:type="spellEnd"/>
      <w:r>
        <w:t xml:space="preserve"> offers a compelling solution to capture that value. By combining cutting-edge technology with user-centric design, we improve patients’ lives while delivering economic benefits to those who pay for care. Coupling this with strategic use of federal funding amplifies our ability to scale and succeed. </w:t>
      </w:r>
      <w:proofErr w:type="spellStart"/>
      <w:r>
        <w:t>AdherePod</w:t>
      </w:r>
      <w:proofErr w:type="spellEnd"/>
      <w:r>
        <w:t xml:space="preserve"> stands at the intersection of a pressing healthcare need, a large addressable market, and supportive tailwinds from both industry and government. With this approach, we aim to drive better hea</w:t>
      </w:r>
      <w:r>
        <w:t>lth outcomes on a grand scale – and in doing so, build a company that is both profitable and transformative for the healthcare system.</w:t>
      </w:r>
    </w:p>
    <w:sectPr w:rsidR="006E129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363F58" w14:textId="77777777" w:rsidR="00E87CD0" w:rsidRDefault="00E87CD0">
      <w:r>
        <w:separator/>
      </w:r>
    </w:p>
  </w:endnote>
  <w:endnote w:type="continuationSeparator" w:id="0">
    <w:p w14:paraId="1273FC84" w14:textId="77777777" w:rsidR="00E87CD0" w:rsidRDefault="00E87C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90CD8" w14:textId="77777777" w:rsidR="006E1290" w:rsidRDefault="00E87CD0" w:rsidP="00E87CD0">
    <w:pPr>
      <w:jc w:val="right"/>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F715FF">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F6397" w14:textId="77777777" w:rsidR="00E87CD0" w:rsidRDefault="00E87CD0">
      <w:r>
        <w:separator/>
      </w:r>
    </w:p>
  </w:footnote>
  <w:footnote w:type="continuationSeparator" w:id="0">
    <w:p w14:paraId="017326ED" w14:textId="77777777" w:rsidR="00E87CD0" w:rsidRDefault="00E87C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BB25A" w14:textId="7DB73216" w:rsidR="006E1290" w:rsidRDefault="006E1290">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42C9F"/>
    <w:multiLevelType w:val="hybridMultilevel"/>
    <w:tmpl w:val="1314232C"/>
    <w:lvl w:ilvl="0" w:tplc="CA8E2932">
      <w:start w:val="1"/>
      <w:numFmt w:val="bullet"/>
      <w:lvlText w:val="•"/>
      <w:lvlJc w:val="left"/>
      <w:pPr>
        <w:ind w:left="720" w:hanging="360"/>
      </w:pPr>
    </w:lvl>
    <w:lvl w:ilvl="1" w:tplc="AF0AA754">
      <w:numFmt w:val="decimal"/>
      <w:lvlText w:val=""/>
      <w:lvlJc w:val="left"/>
    </w:lvl>
    <w:lvl w:ilvl="2" w:tplc="B1FEC8F2">
      <w:numFmt w:val="decimal"/>
      <w:lvlText w:val=""/>
      <w:lvlJc w:val="left"/>
    </w:lvl>
    <w:lvl w:ilvl="3" w:tplc="79E83B02">
      <w:numFmt w:val="decimal"/>
      <w:lvlText w:val=""/>
      <w:lvlJc w:val="left"/>
    </w:lvl>
    <w:lvl w:ilvl="4" w:tplc="1F0A08EE">
      <w:numFmt w:val="decimal"/>
      <w:lvlText w:val=""/>
      <w:lvlJc w:val="left"/>
    </w:lvl>
    <w:lvl w:ilvl="5" w:tplc="05108122">
      <w:numFmt w:val="decimal"/>
      <w:lvlText w:val=""/>
      <w:lvlJc w:val="left"/>
    </w:lvl>
    <w:lvl w:ilvl="6" w:tplc="5F40B5BE">
      <w:numFmt w:val="decimal"/>
      <w:lvlText w:val=""/>
      <w:lvlJc w:val="left"/>
    </w:lvl>
    <w:lvl w:ilvl="7" w:tplc="DF3218DA">
      <w:numFmt w:val="decimal"/>
      <w:lvlText w:val=""/>
      <w:lvlJc w:val="left"/>
    </w:lvl>
    <w:lvl w:ilvl="8" w:tplc="A80AF72A">
      <w:numFmt w:val="decimal"/>
      <w:lvlText w:val=""/>
      <w:lvlJc w:val="left"/>
    </w:lvl>
  </w:abstractNum>
  <w:abstractNum w:abstractNumId="1" w15:restartNumberingAfterBreak="0">
    <w:nsid w:val="666F0665"/>
    <w:multiLevelType w:val="hybridMultilevel"/>
    <w:tmpl w:val="F3C46F16"/>
    <w:lvl w:ilvl="0" w:tplc="14FC84AC">
      <w:start w:val="1"/>
      <w:numFmt w:val="bullet"/>
      <w:lvlText w:val="●"/>
      <w:lvlJc w:val="left"/>
      <w:pPr>
        <w:ind w:left="720" w:hanging="360"/>
      </w:pPr>
    </w:lvl>
    <w:lvl w:ilvl="1" w:tplc="431607C8">
      <w:start w:val="1"/>
      <w:numFmt w:val="bullet"/>
      <w:lvlText w:val="○"/>
      <w:lvlJc w:val="left"/>
      <w:pPr>
        <w:ind w:left="1440" w:hanging="360"/>
      </w:pPr>
    </w:lvl>
    <w:lvl w:ilvl="2" w:tplc="BDBED2E0">
      <w:start w:val="1"/>
      <w:numFmt w:val="bullet"/>
      <w:lvlText w:val="■"/>
      <w:lvlJc w:val="left"/>
      <w:pPr>
        <w:ind w:left="2160" w:hanging="360"/>
      </w:pPr>
    </w:lvl>
    <w:lvl w:ilvl="3" w:tplc="7892EED4">
      <w:start w:val="1"/>
      <w:numFmt w:val="bullet"/>
      <w:lvlText w:val="●"/>
      <w:lvlJc w:val="left"/>
      <w:pPr>
        <w:ind w:left="2880" w:hanging="360"/>
      </w:pPr>
    </w:lvl>
    <w:lvl w:ilvl="4" w:tplc="E00A5CFC">
      <w:start w:val="1"/>
      <w:numFmt w:val="bullet"/>
      <w:lvlText w:val="○"/>
      <w:lvlJc w:val="left"/>
      <w:pPr>
        <w:ind w:left="3600" w:hanging="360"/>
      </w:pPr>
    </w:lvl>
    <w:lvl w:ilvl="5" w:tplc="920C6F32">
      <w:start w:val="1"/>
      <w:numFmt w:val="bullet"/>
      <w:lvlText w:val="■"/>
      <w:lvlJc w:val="left"/>
      <w:pPr>
        <w:ind w:left="4320" w:hanging="360"/>
      </w:pPr>
    </w:lvl>
    <w:lvl w:ilvl="6" w:tplc="456E0CC2">
      <w:start w:val="1"/>
      <w:numFmt w:val="bullet"/>
      <w:lvlText w:val="●"/>
      <w:lvlJc w:val="left"/>
      <w:pPr>
        <w:ind w:left="5040" w:hanging="360"/>
      </w:pPr>
    </w:lvl>
    <w:lvl w:ilvl="7" w:tplc="B4B40B44">
      <w:start w:val="1"/>
      <w:numFmt w:val="bullet"/>
      <w:lvlText w:val="●"/>
      <w:lvlJc w:val="left"/>
      <w:pPr>
        <w:ind w:left="5760" w:hanging="360"/>
      </w:pPr>
    </w:lvl>
    <w:lvl w:ilvl="8" w:tplc="763A2F5C">
      <w:start w:val="1"/>
      <w:numFmt w:val="bullet"/>
      <w:lvlText w:val="●"/>
      <w:lvlJc w:val="left"/>
      <w:pPr>
        <w:ind w:left="6480" w:hanging="360"/>
      </w:pPr>
    </w:lvl>
  </w:abstractNum>
  <w:num w:numId="1" w16cid:durableId="194337068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290"/>
    <w:rsid w:val="00184B45"/>
    <w:rsid w:val="006E1290"/>
    <w:rsid w:val="00832986"/>
    <w:rsid w:val="008E730F"/>
    <w:rsid w:val="00966A82"/>
    <w:rsid w:val="00E87CD0"/>
    <w:rsid w:val="00F715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38F80"/>
  <w15:docId w15:val="{5A5097FF-E253-4AEF-9C66-281C73E36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40" w:after="160"/>
      <w:outlineLvl w:val="1"/>
    </w:pPr>
    <w:rPr>
      <w:b/>
      <w:bCs/>
      <w:color w:val="2E5090"/>
      <w:sz w:val="26"/>
      <w:szCs w:val="26"/>
    </w:rPr>
  </w:style>
  <w:style w:type="paragraph" w:styleId="Heading3">
    <w:name w:val="heading 3"/>
    <w:uiPriority w:val="9"/>
    <w:unhideWhenUsed/>
    <w:qFormat/>
    <w:pPr>
      <w:spacing w:before="200" w:after="120"/>
      <w:outlineLvl w:val="2"/>
    </w:pPr>
    <w:rPr>
      <w:b/>
      <w:bCs/>
      <w:color w:val="2E509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84B45"/>
    <w:pPr>
      <w:tabs>
        <w:tab w:val="center" w:pos="4680"/>
        <w:tab w:val="right" w:pos="9360"/>
      </w:tabs>
    </w:pPr>
  </w:style>
  <w:style w:type="character" w:customStyle="1" w:styleId="HeaderChar">
    <w:name w:val="Header Char"/>
    <w:basedOn w:val="DefaultParagraphFont"/>
    <w:link w:val="Header"/>
    <w:uiPriority w:val="99"/>
    <w:rsid w:val="00184B45"/>
  </w:style>
  <w:style w:type="paragraph" w:styleId="Footer">
    <w:name w:val="footer"/>
    <w:basedOn w:val="Normal"/>
    <w:link w:val="FooterChar"/>
    <w:uiPriority w:val="99"/>
    <w:unhideWhenUsed/>
    <w:rsid w:val="00184B45"/>
    <w:pPr>
      <w:tabs>
        <w:tab w:val="center" w:pos="4680"/>
        <w:tab w:val="right" w:pos="9360"/>
      </w:tabs>
    </w:pPr>
  </w:style>
  <w:style w:type="character" w:customStyle="1" w:styleId="FooterChar">
    <w:name w:val="Footer Char"/>
    <w:basedOn w:val="DefaultParagraphFont"/>
    <w:link w:val="Footer"/>
    <w:uiPriority w:val="99"/>
    <w:rsid w:val="00184B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2611</Words>
  <Characters>15249</Characters>
  <Application>Microsoft Office Word</Application>
  <DocSecurity>0</DocSecurity>
  <Lines>221</Lines>
  <Paragraphs>60</Paragraphs>
  <ScaleCrop>false</ScaleCrop>
  <Company>PwC</Company>
  <LinksUpToDate>false</LinksUpToDate>
  <CharactersWithSpaces>17800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Gage Clifton (US)</cp:lastModifiedBy>
  <cp:revision>4</cp:revision>
  <dcterms:created xsi:type="dcterms:W3CDTF">2026-02-08T05:16:00Z</dcterms:created>
  <dcterms:modified xsi:type="dcterms:W3CDTF">2026-02-08T05:17:00Z</dcterms:modified>
</cp:coreProperties>
</file>