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generateCashFlowForecast } from "./cashFlowForecast";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describe("cashFlowForecast",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it("projects cash balance accurately and identifies lowest balance point",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startDate = new Date("2026-09-01T00:00:00Z");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generateCashFlowForecast({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currentBalance: 10000,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historicalDailyExpenseAvg: 200,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forecastDays: 7,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startDate,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scheduledEvents: [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title: "เงินเดือนเข้า", amount: 30000, type: "income", date: new Date("2026-09-05T00:00:00Z")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title: "จ่ายค่าเช่าห้อง", amount: 8000, type: "expense", date: new Date("2026-09-03T00:00:00Z")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expect(result.horizonDays).toBe(7);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expect(result.startBalance).toBe(10000);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expect(result.lowestBalance).toBe(1200);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expect(result.endBalance).toBe(30600);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expect(result.isDeficitRisk).toBe(false);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it("detects deficit risk when burn rate or expenses exceed balance", () =&gt;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generateCashFlowForecast({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currentBalance: 1000,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historicalDailyExpenseAvg: 300,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forecastDays: 7,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startDate: new Date("2026-09-01T00:00:00Z"),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scheduledEvents: [],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expect(result.isDeficitRisk).toBe(true);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expect(result.deficitDate).toBeDefined();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