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generatePnlReport, type PnlTransactionItem } from "./pnlReport";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describe("pnlReport",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gross profit, operating expenses, and net margins accurately",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txs: PnlTransactionItem[] =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1, amount: 60000, category: "รายได้ค่าบริการ", type: "income" },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2, amount: 15000, category: "ต้นทุนผู้รับเหมาช่วง", type: "expense", expenseClassification: "cogs" },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3, amount: 5000, category: "ค่าเช่าสำนักงาน", type: "expense", expenseClassification: "opex"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4, amount: 3000, category: "ค่าซอฟต์แวร์และคลาวด์", type: "expense", expenseClassification: "opex"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report = generatePnlReport(txs, "กันยายน 2569");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expect(report.totalRevenue).toBe(60000);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expect(report.costOfGoodsSold).toBe(15000);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expect(report.grossProfit).toBe(45000);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expect(report.grossMarginPercent).toBe(75);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expect(report.operatingExpenses).toBe(8000);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expect(report.netProfit).toBe(37000);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expect(report.netProfitMarginPercent).toBe(61.7);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