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calculateSafeToSpend, evaluateCanIAfford } from "./safeToSpend";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describe("safeToSpend",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daily safe to spend correctly based on remaining days",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calculateSafeToSpend({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monthlyBudget: 20000,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spentSoFar: 5000,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fixedRecurringExpenses: 3000,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monthlySavingsTarget: 2000,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referenceDate: new Date(2026, 8, 10),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cycleEndDay: 30,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expect(res.remainingBudget).toBe(10000);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expect(res.remainingDaysInCycle).toBe(21);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expect(res.dailySafeToSpend).toBe(476.19);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expect(res.status).toBe("comfortable");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it("evaluates can I afford safely within budget", () =&gt;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evaluateCanIAfford({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monthlyBudget: 20000,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spentSoFar: 5000,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fixedRecurringExpenses: 3000,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monthlySavingsTarget: 2000,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referenceDate: new Date(2026, 8, 10),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cycleEndDay: 30,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proposedExpenseAmount: 500,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proposedExpenseItemName: "อาหารมื้อพิเศษ",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expect(res.canAfford).toBe(true);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expect(res.verdict).toBe("safe");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it("warns against expensive purchase exceeding remaining budget", () =&gt;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evaluateCanIAfford({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monthlyBudget: 15000,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spentSoFar: 14000,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referenceDate: new Date(2026, 8, 20),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cycleEndDay: 30,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proposedExpenseAmount: 2500,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proposedExpenseItemName: "หูฟังไร้สาย",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expect(res.canAfford).toBe(false);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expect(res.verdict).toBe("not_recommended");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