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calculateEmergencyFund, calculateFinancialHealthScore } from "./savingsGoals";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describe("savingsGoals",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emergency fund target and months covered correctly",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calculateEmergencyFund(25000, 75000, 6);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expect(res.recommendedTarget).toBe(150000);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expect(res.gapAmount).toBe(75000);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expect(res.monthsCovered).toBe(3);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expect(res.status).toBe("adequate");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healthy financial score for balanced income and savings", () =&gt;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calculateFinancialHealthScore({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monthlyIncome: 60000,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monthlyExpense: 35000,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emergencyFundAmount: 250000,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hasActiveBudget: true,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budgetOverrun: false,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expect(res.score).toBeGreaterThanOrEqual(85);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expect(res.grade).toBe("A");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expect(res.positivePoints.length).toBeGreaterThanOrEqual(3);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