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keepLines w:val="false"/>
        <w:spacing w:after="0" w:before="0" w:line="360" w:lineRule="auto"/>
        <w:jc w:val="left"/>
      </w:pPr>
      <w:r>
        <w:rPr>
          <w:rFonts w:ascii="Times New Roman" w:cs="Times New Roman" w:eastAsia="Times New Roman" w:hAnsi="Times New Roman"/>
          <w:b w:val="false"/>
          <w:bCs w:val="false"/>
          <w:i/>
          <w:iCs/>
          <w:sz w:val="22"/>
          <w:szCs w:val="22"/>
        </w:rPr>
        <w:t xml:space="preserve">Pilot version 0.2: not yet validated</w:t>
      </w:r>
    </w:p>
    <w:p>
      <w:pPr>
        <w:keepNext w:val="false"/>
        <w:keepLines w:val="false"/>
        <w:spacing w:after="0" w:before="0" w:line="360" w:lineRule="auto"/>
        <w:jc w:val="left"/>
      </w:pPr>
      <w:r>
        <w:rPr>
          <w:rFonts w:ascii="Times New Roman" w:cs="Times New Roman" w:eastAsia="Times New Roman" w:hAnsi="Times New Roman"/>
          <w:b/>
          <w:bCs/>
          <w:i w:val="false"/>
          <w:iCs w:val="false"/>
          <w:sz w:val="28"/>
          <w:szCs w:val="28"/>
        </w:rPr>
        <w:t xml:space="preserve">Performance Medicine Needs Evaluation and Assessment Tool (PM-NEAT)</w:t>
      </w:r>
    </w:p>
    <w:p>
      <w:pPr>
        <w:keepNext w:val="false"/>
        <w:keepLines w:val="false"/>
        <w:spacing w:after="0" w:before="0" w:line="360" w:lineRule="auto"/>
        <w:jc w:val="left"/>
      </w:pPr>
      <w:r>
        <w:rPr>
          <w:rFonts w:ascii="Times New Roman" w:cs="Times New Roman" w:eastAsia="Times New Roman" w:hAnsi="Times New Roman"/>
          <w:b/>
          <w:bCs/>
          <w:i w:val="false"/>
          <w:iCs w:val="false"/>
          <w:sz w:val="22"/>
          <w:szCs w:val="22"/>
        </w:rPr>
        <w:t xml:space="preserve">Form 1.1: Needs Evaluation</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STRIKERS Elite Sports Group | University of St Andrews</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About this form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The Performance Medicine Needs Evaluation and Assessment Tool (PM-NEAT) is a structured instrument, built on the 34 domains of the Performance Medicine Integrative Framework (PMIF), with which a performance medicine service can be planned, audited and redesigned. It has three forms: Form 1.1, Needs Evaluation, rates what a setting requires in each domain and is used before a service is designed or commissioned; Form 1.2, Service Assessment, rates current provision and is used to audit an existing service; and Form 1.3, Gap Analysis, rates both together, the gap being need minus provision, and is used when a service is reviewed and redesigned.</w:t>
      </w:r>
    </w:p>
    <w:p>
      <w:pPr>
        <w:keepNext w:val="false"/>
        <w:keepLines w:val="false"/>
        <w:spacing w:after="0" w:before="0" w:line="360" w:lineRule="auto"/>
        <w:jc w:val="left"/>
      </w:pPr>
      <w:r>
        <w:rPr>
          <w:rFonts w:ascii="Times New Roman" w:cs="Times New Roman" w:eastAsia="Times New Roman" w:hAnsi="Times New Roman"/>
          <w:b w:val="false"/>
          <w:bCs w:val="false"/>
          <w:i w:val="false"/>
          <w:iCs w:val="false"/>
          <w:sz w:val="22"/>
          <w:szCs w:val="22"/>
        </w:rPr>
        <w:t xml:space="preserve">This is Form 1.1, Needs Evaluation. Complete the orientation first, then rate anticipated need in each domain using the level descriptors of the rating guide, guided by the prompts beside each domain, which direct you to the evidence on which a rating should rest. Rate a domain not applicable only where it does not apply to the setting at all: a domain that applies but needs nothing at present is rated 0 for need. Examples of each domain in the four settings are given in the user guide and in the web version of the tool (https://andrewhallorthosports.github.io/performance-medicine/tools/), which also calculates the summary. Performers means the athletes, service personnel, clinicians or employees whose work places sustained physical, cognitive or psychological demands on them.</w:t>
      </w:r>
    </w:p>
    <w:p>
      <w:pPr>
        <w:keepNext w:val="false"/>
        <w:keepLines w:val="false"/>
        <w:spacing w:after="0" w:before="0" w:line="360" w:lineRule="auto"/>
        <w:jc w:val="both"/>
      </w:pPr>
      <w:r>
        <w:rPr>
          <w:rFonts w:ascii="Times New Roman" w:cs="Times New Roman" w:eastAsia="Times New Roman" w:hAnsi="Times New Roman"/>
          <w:b w:val="false"/>
          <w:bCs w:val="false"/>
          <w:i w:val="false"/>
          <w:iCs w:val="false"/>
          <w:sz w:val="22"/>
          <w:szCs w:val="22"/>
        </w:rPr>
        <w:t xml:space="preserve">Version 0.2 is a pilot version and has not yet been validated. Form 1.2 and Form 1.3 and the Performance Medicine Operational Specification (PM-OpSpec, Form 2) use the same domains, and the ratings of a completed Gap Analysis (Form 1.3) can be carried into PM-OpSpec Section B and sub-component C3.</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Rating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986"/>
        <w:gridCol w:w="6137"/>
      </w:tblGrid>
      <w:tr>
        <w:trPr>
          <w:cantSplit/>
          <w:tblHeader/>
        </w:trPr>
        <w:tc>
          <w:tcPr>
            <w:tcW w:type="dxa" w:w="90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Rating</w:t>
            </w:r>
          </w:p>
        </w:tc>
        <w:tc>
          <w:tcPr>
            <w:tcW w:type="dxa" w:w="1986"/>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Label</w:t>
            </w:r>
          </w:p>
        </w:tc>
        <w:tc>
          <w:tcPr>
            <w:tcW w:type="dxa" w:w="61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Descriptor</w:t>
            </w:r>
          </w:p>
        </w:tc>
      </w:tr>
      <w:tr>
        <w:trPr>
          <w:cantSplit/>
        </w:trPr>
        <w:tc>
          <w:tcPr>
            <w:tcW w:type="dxa" w:w="9026"/>
            <w:gridSpan w:val="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spacing w:after="20" w:before="20" w:line="240" w:lineRule="auto"/>
              <w:jc w:val="left"/>
            </w:pPr>
            <w:r>
              <w:rPr>
                <w:rFonts w:ascii="Times New Roman" w:cs="Times New Roman" w:eastAsia="Times New Roman" w:hAnsi="Times New Roman"/>
                <w:b/>
                <w:bCs/>
                <w:i w:val="false"/>
                <w:iCs w:val="false"/>
                <w:sz w:val="20"/>
                <w:szCs w:val="20"/>
              </w:rPr>
              <w:t xml:space="preserve">Need</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N/A</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Not applicable</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domain does not apply to this setting; it is excluded from every total.</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0</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No current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The domain applies to this setting, but no provision is required at present.</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Low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An occasional or minor requirement that general staff can meet.</w:t>
            </w:r>
          </w:p>
        </w:tc>
      </w:tr>
      <w:tr>
        <w:trPr>
          <w:cantSplit/>
        </w:trPr>
        <w:tc>
          <w:tcPr>
            <w:tcW w:type="dxa" w:w="903"/>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1986"/>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Moderate need</w:t>
            </w:r>
          </w:p>
        </w:tc>
        <w:tc>
          <w:tcPr>
            <w:tcW w:type="dxa" w:w="6137"/>
            <w:tcBorders>
              <w:top w:val="none" w:color="FFFFFF" w:sz="0"/>
              <w:left w:val="none" w:color="FFFFFF" w:sz="0"/>
              <w:bottom w:val="none" w:color="FFFFFF" w:sz="0"/>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 regular requirement that calls for planned provision.</w:t>
            </w:r>
          </w:p>
        </w:tc>
      </w:tr>
      <w:tr>
        <w:trPr>
          <w:cantSplit/>
        </w:trPr>
        <w:tc>
          <w:tcPr>
            <w:tcW w:type="dxa" w:w="90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198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High need</w:t>
            </w:r>
          </w:p>
        </w:tc>
        <w:tc>
          <w:tcPr>
            <w:tcW w:type="dxa" w:w="61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 frequent, critical or high-risk requirement that calls for dedicated specialist provision.</w:t>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Orientation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30"/>
        <w:gridCol w:w="5596"/>
      </w:tblGrid>
      <w:tr>
        <w:trPr>
          <w:cantSplit/>
          <w:trHeight w:val="480" w:hRule="atLeast"/>
        </w:trPr>
        <w:tc>
          <w:tcPr>
            <w:tcW w:type="dxa" w:w="3430"/>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Organisation or service</w:t>
            </w:r>
          </w:p>
        </w:tc>
        <w:tc>
          <w:tcPr>
            <w:tcW w:type="dxa" w:w="5596"/>
            <w:tcBorders>
              <w:top w:val="single" w:color="000000" w:sz="6"/>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Setting: sport / military and tactical / healthcare / corporate and occupational / other (specify)</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Function, level, and sport or field</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Performers: who, numbers, level and roles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Date or dates of assessment</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Lead assessor (name and role)</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Other assessors (names and roles)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Purpose of, or trigger for, the assessment</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Previous assessment?   Yes  /  No  /  Unknown</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Aims and objectives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Key performance indicators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Timeline: near, medium and longer term</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Existing performance medicine components</w:t>
            </w:r>
          </w:p>
        </w:tc>
        <w:tc>
          <w:tcPr>
            <w:tcW w:type="dxa" w:w="5596"/>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480" w:hRule="atLeast"/>
        </w:trPr>
        <w:tc>
          <w:tcPr>
            <w:tcW w:type="dxa" w:w="343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Specific requests or constraints</w:t>
            </w:r>
          </w:p>
        </w:tc>
        <w:tc>
          <w:tcPr>
            <w:tcW w:type="dxa" w:w="5596"/>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1: Medical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and Exercise Medicine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Medical care of performers: diagnosis and medical management of injury and illness, medical screening, prescribing and oversight of health across training, competition, operations or work; emergency care is scored under 1.3 and rehabilitation under 3.1.</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medical care to performers, with what qualifications, and how much of their time is committed to this population?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documented medical screening process, and are its results acted on and reviewed?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holds medical oversight across training, competition, operations or work, and how are injury and illness recorded?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Lifestyle and Preventive Medicine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Health promotion and the prevention of chronic disease: assessment of and intervention on physical activity, diet, sleep, stress, substance use and social connection, and screening for long-term risk; specialist nutrition and sleep provision for performance are scored under 3.2 and 3.6.</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lifestyle risk (physical activity, diet, sleep, stress, substance use and social connection) assessed in a structured way, and how often?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What intervention or referral follows when a risk is identified?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performers' long-term health, beyond the current season, posting or role, considered in planning?</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Emergency and Acute Care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Emergency action planning and the immediate care of acute injury and illness wherever performers train, compete, deploy or work, with the staff training, equipment and drills that it requires.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written emergency action plan for each venue or site, and when was it last rehearsed?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staff trained to the level of emergency care the setting requires, with training in date and equipment checked?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quickly can a performer with a serious acute injury or illness reach definitive care?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1.4</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Specialist Liaison and Referral</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Access to care beyond the service: referral pathways to external specialists and to secondary and tertiary services, and the coordination of performers' care across them.</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there agreed referral routes to the specialists that performers most often need, and how long do referrals take?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coordinates care when a performer is under more than one external service?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Does information from external services return to the performer's record?</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2: Psychological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Performance Psychology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Performance psychology: mental skills, psychological readiness and preparation for performance under pressure, for individuals and teams.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performance psychology support, with what qualifications, and how do performers access 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psychological preparation for high-pressure events planned and reviewed, for individuals and for teams?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Clinical Psychology and Mental Health</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Mental health care: screening, assessment, treatment and onward referral for mental health conditions in performers; the response to acute crises is scored under 2.6.</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routine screening for mental health conditions, and what happens after a positive screen?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provides assessment and treatment, and how long do performers wait for 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referral routes to specialist mental health services agreed and used?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Psychological Load Management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Psychological load: monitoring and management of stress, fatigue and burnout, and of psychological recovery; physical load is scored under 3.6.</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stress, fatigue and burnout monitored, and by whom?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What action follows when monitoring shows rising psychological load?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2.4</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Psychosocial Environment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psychosocial environment: team culture, psychological safety, relationships, leadership climate and the social conditions in which performers live and work.</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team culture and psychological safety assessed, and how are the results acted 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relationships between performers, the coaches, commanders or managers around them, and support staff reviewed?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2.5</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Cognitive Performance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Cognitive performance: attention, perception, decision-making under pressure, cognitive load and brain health.</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attention, decision-making and cognitive load assessed or trained, and how?</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brain health monitored over time, with cognitive baselines where head impact is a risk?</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2.6</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Welfare, Crisis and Safeguarding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Welfare support for performers and the immediate response to psychological crises, critical incidents and safeguarding concerns as they arise, with onward referral; the organisation's safeguarding framework is scored under 5.4.</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known route by which a performer in crisis, or a concern about one, reaches help at any hour?</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critical incidents followed by a structured response and onward referral?</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individual welfare and safeguarding concerns recorded and followed through?</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3: Allied Health and Scientific</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Physiotherapy and Rehabilitation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Musculoskeletal assessment, treatment and progressive rehabilitation to agreed criteria; the decision to return to full performance is scored under 5.2.</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musculoskeletal assessment and treatment, and how quickly can performers be seen?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rehabilitation plans written, progressed against agreed criteria and reviewed?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Nutrition and Dietetics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Nutritional assessment, fuelling and hydration strategies, body composition, supplement use and the dietetic management of clinical conditions.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provides nutrition support, with what qualifications, and is it individual or group-based?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fuelling, hydration and supplement use assessed and governed, including the risk of low energy availability?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clinical conditions that need dietetic management identified and referred?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Strength, Conditioning and Exercise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Physical preparation: the design, prescription and delivery of strength, conditioning and exercise programmes, including the planning of training load; monitoring of the load received is scored under 3.6.</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Who designs and delivers physical preparation, with what qualifications?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programmes individualised, and is training load planned across the year or cycle?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3.4</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Sport and Exercise Physiology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Physiological assessment and support: aerobic and anaerobic capacity, metabolic and environmental physiology (heat, cold and altitude), and the interpretation of results for training and health; the testing programme as a whole is scored under 4.2.</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physiological assessment available, and are results interpreted and used in training and health decisions?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environmental demands such as heat, cold or altitude assessed and prepared for?</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3.5</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Biomechanics and Movement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Movement and technique analysis, the physical demands of the task and the biomechanics of injury and its prevention.</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movement or technique analysed, by whom and with what methods?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the physical demands of the task understood and used in preventing injury?</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3.6</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Sleep, Recovery and Load Monitoring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Sleep, recovery practice and the monitoring of the training, operational or occupational load that performers receive and of their response to it; the prescription of load is scored under 3.3 and psychological load under 2.3.</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 load that performers receive measured, and is their response to it monitored?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sleep and recovery assessed, and what support follows a problem?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reviews the monitoring data, and how does it change practice?</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4: Technical</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Data Systems and Performance Analytics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Data infrastructure and analytics: the platforms, integration, analysis and reporting that turn health and performance data into information for decisions; information governance is scored under 5.3.</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Where are health and performance data held, and can they be brought together?</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Who analyses the data, and how are the results reported to those who make decisions?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Performance Testing and Assessment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testing programme across disciplines: selection and scheduling of standardised tests, their reliability and quality control, and benchmarking; the interpretation of results within each discipline is scored in that discipline's domain.</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there a schedule of standardised tests across disciplines, and is it followed?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the reliability and quality control of the tests known, and are results benchmarked?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Technology and Digital Integration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Wearable, positional, biometric and digital health technologies: their selection, evaluation, deployment and integration into practice; the platforms that store and report their data are scored under 4.1.</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Which wearable, positional or digital health technologies are used, and were they evaluated before adoption?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they integrated into practice, and who is responsible for them?</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4.4</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Research and Performance Science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In-house research and performance science capability: the people, skills and time to generate local evidence through applied studies, innovation projects and the evaluation of new methods; external research partnerships are scored under 7.2.</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have staff with the skills and protected time to run applied studies?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new methods evaluated locally before they are adopted?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4.5</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Environment, Facility and Equipment Management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Facilities and equipment: training, operational and clinical spaces, and the provision, maintenance and safety of equipment; emergency equipment is scored under 1.3.</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training, operational and clinical spaces fit for purpose and safe?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equipment maintained, logged and replaced on schedule?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4.6</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Operational Logistics and Coordination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Operational logistics: travel, scheduling, deployments and multi-site operations, and the movement of staff, equipment and medicines between sites.</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are travel, scheduling and multi-site work planned, and who coordinates them?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staff, equipment and medicines moved between sites, and is this governed?</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5: Clinical Practice (Overarching Aspect, applying across all four quadrants)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Governance and Clinical Accountability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governance: lines of clinical accountability, professional registration and scope of practice, policies, risk and incident management, and regulatory compliance; the governance and management of the wider organisation sit in the framework's outer boundary.</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a named clinical lead accountable for the service, and are staff registered and working within their scope of practice?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policies current, and are risks and incidents recorded and reviewed?</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Clinical Decision-Making and Pathways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decision-making: shared decision-making with performers, inter-professional case review, care pathways across disciplines and decisions on return to full performance.</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performers involved in decisions about their care, and is this recorded?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complex cases reviewed across disciplines, and are care pathways written?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How are decisions on return to full performance made, and by whom?</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Documentation, Records and Information Governance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Records and information governance: clinical record systems, confidentiality, data protection compliance and the protocols for sharing information across disciplines and organisations.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clinical records complete, secure and kept to professional standards?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written protocol, with consent, for sharing information between disciplines and with coaches, commanders or managers?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5.4</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Safeguarding and Duty of Care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safeguarding framework: child and adult protection policies, designated safeguarding leads, consent procedures, reporting and escalation routes, and the duty of care owed to performers and staff; the response to individual concerns is scored under 2.6.</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child and adult safeguarding policies current, and is there a named designated lead?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consent procedures, and the routes for reporting and escalation, written and known to staff?</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6: Education and Development (Overarching Aspect, applying across all four quadrants)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Staff CPD and Professional Development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Continuing professional development of current staff: training plans, protected learning time and competency frameworks within each discipline and for working across disciplines.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each member of staff have a development plan and protected learning time?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competency framework within each discipline and for working across disciplines?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Mentorship, Supervision and Workforce Development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and professional supervision and mentoring of current staff, and the development of individuals within their roles through them; the recruitment and training of future practitioners is scored under 6.4.</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 staff receive regular clinical or professional supervision, and is it recorded?</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mentoring available, particularly for staff new to the setting?</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Education for Performers and Teams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Education of performers and of the coaches, commanders and managers around them: health literacy, performance education and support for informed self-management.</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Are performers, and the coaches, commanders or managers around them, educated about health and performance?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Does the education support performers to manage their own health?</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6.4</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Workforce Pipeline and Training Capacity</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pipeline of future practitioners: placements, internships and training posts, the capacity to host and teach them, and succession planning for key roles.</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host placements, internships or training posts, and does it have the capacity to teach them?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there a succession plan for key roles?</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Section 7: Research and Knowledge Translation (Overarching Aspect, applying across all four quadrants)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698"/>
        <w:gridCol w:w="3629"/>
        <w:gridCol w:w="4885"/>
        <w:gridCol w:w="1117"/>
        <w:gridCol w:w="3629"/>
      </w:tblGrid>
      <w:tr>
        <w:trPr>
          <w:cantSplit/>
          <w:tblHeader/>
        </w:trPr>
        <w:tc>
          <w:tcPr>
            <w:tcW w:type="dxa" w:w="69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Code</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 and description</w:t>
            </w:r>
          </w:p>
        </w:tc>
        <w:tc>
          <w:tcPr>
            <w:tcW w:type="dxa" w:w="488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 to look for</w:t>
            </w:r>
          </w:p>
        </w:tc>
        <w:tc>
          <w:tcPr>
            <w:tcW w:type="dxa" w:w="111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Need</w:t>
            </w:r>
          </w:p>
        </w:tc>
        <w:tc>
          <w:tcPr>
            <w:tcW w:type="dxa" w:w="3629"/>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Notes</w:t>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7.1</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Service Audit and Quality Improvement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Clinical audit and quality improvement: audit against agreed standards, monitoring of outcomes and structured improvement of the service.</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Is practice audited against agreed standards, and are audits completed through to re-audit?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outcomes monitored and used to improve the service?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7.2</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Research Engagement</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Engagement with the wider research community: participation in external studies, academic partnerships, research ethics and governance, and the use of the service's data for research; in-house research capability is scored under 4.4.</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take part in external studies or hold academic partnerships?</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research governed, with ethical approval and data sharing agreements in place?</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7.3</w:t>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Evidence-Informed Practice</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The processes by which current best evidence is found, appraised and built into protocols and individual decisions.</w:t>
            </w:r>
          </w:p>
        </w:tc>
        <w:tc>
          <w:tcPr>
            <w:tcW w:type="dxa" w:w="488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How is current evidence found and appraised, and by whom?</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Are protocols referenced, and are they updated when the evidence changes?</w:t>
            </w:r>
          </w:p>
        </w:tc>
        <w:tc>
          <w:tcPr>
            <w:tcW w:type="dxa" w:w="111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900" w:hRule="atLeast"/>
        </w:trPr>
        <w:tc>
          <w:tcPr>
            <w:tcW w:type="dxa" w:w="69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7.4</w:t>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Knowledge Dissemination and Translation</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Sharing knowledge beyond the service: publication, conference presentation, external teaching and the translation of the service's learning into practice elsewhere.</w:t>
            </w:r>
          </w:p>
        </w:tc>
        <w:tc>
          <w:tcPr>
            <w:tcW w:type="dxa" w:w="488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Does the service share what it learns, through publication, presentation or external teaching?</w:t>
            </w:r>
          </w:p>
          <w:p>
            <w:pPr>
              <w:keepNext w:val="false"/>
              <w:spacing w:after="20" w:before="60" w:line="240" w:lineRule="auto"/>
              <w:jc w:val="left"/>
            </w:pPr>
            <w:r>
              <w:rPr>
                <w:rFonts w:ascii="Times New Roman" w:cs="Times New Roman" w:eastAsia="Times New Roman" w:hAnsi="Times New Roman"/>
                <w:b w:val="false"/>
                <w:bCs w:val="false"/>
                <w:i w:val="false"/>
                <w:iCs w:val="false"/>
                <w:sz w:val="20"/>
                <w:szCs w:val="20"/>
              </w:rPr>
              <w:t xml:space="preserve">Is its learning taken into practice in other services?</w:t>
            </w:r>
          </w:p>
        </w:tc>
        <w:tc>
          <w:tcPr>
            <w:tcW w:type="dxa" w:w="111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3629"/>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60" w:line="240" w:lineRule="auto"/>
        <w:jc w:val="left"/>
      </w:pPr>
      <w:r>
        <w:rPr>
          <w:rFonts w:ascii="Times New Roman" w:cs="Times New Roman" w:eastAsia="Times New Roman" w:hAnsi="Times New Roman"/>
          <w:b w:val="false"/>
          <w:bCs w:val="false"/>
          <w:i/>
          <w:iCs/>
          <w:sz w:val="20"/>
          <w:szCs w:val="20"/>
        </w:rPr>
        <w:t xml:space="preserve">Rate each domain from 0 to 3, or N/A. </w:t>
      </w:r>
    </w:p>
    <w:p>
      <w:pPr>
        <w:sectPr>
          <w:headerReference w:type="default" r:id="rId9"/>
          <w:footerReference w:type="default" r:id="rId10"/>
          <w:pgSz w:w="16838" w:h="11906" w:orient="landscape"/>
          <w:pgMar w:top="1440" w:right="1440" w:bottom="1440" w:left="1440" w:header="708" w:footer="708" w:gutter="0"/>
          <w:pgNumType/>
          <w:docGrid w:linePitch="360"/>
        </w:sectPr>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Synthesis and summary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3908"/>
        <w:gridCol w:w="1675"/>
        <w:gridCol w:w="1954"/>
        <w:gridCol w:w="6421"/>
      </w:tblGrid>
      <w:tr>
        <w:trPr>
          <w:cantSplit/>
          <w:tblHeader/>
        </w:trPr>
        <w:tc>
          <w:tcPr>
            <w:tcW w:type="dxa" w:w="390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Section</w:t>
            </w:r>
          </w:p>
        </w:tc>
        <w:tc>
          <w:tcPr>
            <w:tcW w:type="dxa" w:w="1675"/>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Domains rated</w:t>
            </w:r>
          </w:p>
        </w:tc>
        <w:tc>
          <w:tcPr>
            <w:tcW w:type="dxa" w:w="195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Total need</w:t>
            </w:r>
          </w:p>
        </w:tc>
        <w:tc>
          <w:tcPr>
            <w:tcW w:type="dxa" w:w="6421"/>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Key observations</w:t>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 Medical</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 Psychological</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 Allied Health and Scientific</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 Technical</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 Clinical Practice</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6 Education and Development</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7 Research and Knowledge Translation</w:t>
            </w:r>
          </w:p>
        </w:tc>
        <w:tc>
          <w:tcPr>
            <w:tcW w:type="dxa" w:w="1675"/>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520" w:hRule="atLeast"/>
        </w:trPr>
        <w:tc>
          <w:tcPr>
            <w:tcW w:type="dxa" w:w="3908"/>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All sections</w:t>
            </w:r>
          </w:p>
        </w:tc>
        <w:tc>
          <w:tcPr>
            <w:tcW w:type="dxa" w:w="1675"/>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195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421"/>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60" w:line="240" w:lineRule="auto"/>
        <w:jc w:val="left"/>
      </w:pPr>
      <w:r>
        <w:rPr>
          <w:rFonts w:ascii="Times New Roman" w:cs="Times New Roman" w:eastAsia="Times New Roman" w:hAnsi="Times New Roman"/>
          <w:b w:val="false"/>
          <w:bCs w:val="false"/>
          <w:i w:val="false"/>
          <w:iCs w:val="false"/>
          <w:sz w:val="20"/>
          <w:szCs w:val="20"/>
        </w:rPr>
        <w:t xml:space="preserve">For each section: domains rated counts the domains with a need rating entered, those rated not applicable being excluded, and total need sums their ratings.</w:t>
      </w:r>
    </w:p>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Priority actions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837"/>
        <w:gridCol w:w="2233"/>
        <w:gridCol w:w="6700"/>
        <w:gridCol w:w="2094"/>
        <w:gridCol w:w="2094"/>
      </w:tblGrid>
      <w:tr>
        <w:trPr>
          <w:cantSplit/>
          <w:tblHeader/>
        </w:trPr>
        <w:tc>
          <w:tcPr>
            <w:tcW w:type="dxa" w:w="837"/>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No.</w:t>
            </w:r>
          </w:p>
        </w:tc>
        <w:tc>
          <w:tcPr>
            <w:tcW w:type="dxa" w:w="223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Domain</w:t>
            </w:r>
          </w:p>
        </w:tc>
        <w:tc>
          <w:tcPr>
            <w:tcW w:type="dxa" w:w="6700"/>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Action required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Lead</w:t>
            </w:r>
          </w:p>
        </w:tc>
        <w:tc>
          <w:tcPr>
            <w:tcW w:type="dxa" w:w="2094"/>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Timeline</w:t>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1</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2</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3</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4</w:t>
            </w:r>
          </w:p>
        </w:tc>
        <w:tc>
          <w:tcPr>
            <w:tcW w:type="dxa" w:w="2233"/>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2"/>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r>
        <w:trPr>
          <w:cantSplit/>
          <w:trHeight w:val="600" w:hRule="atLeast"/>
        </w:trPr>
        <w:tc>
          <w:tcPr>
            <w:tcW w:type="dxa" w:w="837"/>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5</w:t>
            </w:r>
          </w:p>
        </w:tc>
        <w:tc>
          <w:tcPr>
            <w:tcW w:type="dxa" w:w="223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6700"/>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094"/>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Narrative conclusion and recommendations</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3958"/>
      </w:tblGrid>
      <w:tr>
        <w:trPr>
          <w:cantSplit/>
          <w:trHeight w:val="3600" w:hRule="atLeast"/>
        </w:trPr>
        <w:tc>
          <w:tcPr>
            <w:tcW w:type="dxa" w:w="13958"/>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keepLines w:val="false"/>
        <w:spacing w:after="0" w:before="0" w:line="360" w:lineRule="auto"/>
        <w:jc w:val="left"/>
      </w:pPr>
      <w:r>
        <w:rPr>
          <w:rFonts w:ascii="Times New Roman" w:cs="Times New Roman" w:eastAsia="Times New Roman" w:hAnsi="Times New Roman"/>
          <w:b/>
          <w:bCs/>
          <w:i w:val="false"/>
          <w:iCs w:val="false"/>
          <w:sz w:val="22"/>
          <w:szCs w:val="22"/>
        </w:rPr>
        <w:t xml:space="preserve">Sign-off</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5583"/>
        <w:gridCol w:w="5583"/>
        <w:gridCol w:w="2792"/>
      </w:tblGrid>
      <w:tr>
        <w:trPr>
          <w:cantSplit/>
          <w:tblHeader/>
        </w:trPr>
        <w:tc>
          <w:tcPr>
            <w:tcW w:type="dxa" w:w="558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Lead assessor name</w:t>
            </w:r>
          </w:p>
        </w:tc>
        <w:tc>
          <w:tcPr>
            <w:tcW w:type="dxa" w:w="5583"/>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Signature</w:t>
            </w:r>
          </w:p>
        </w:tc>
        <w:tc>
          <w:tcPr>
            <w:tcW w:type="dxa" w:w="2792"/>
            <w:tcBorders>
              <w:top w:val="single" w:color="000000" w:sz="6"/>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bCs/>
                <w:i w:val="false"/>
                <w:iCs w:val="false"/>
                <w:sz w:val="20"/>
                <w:szCs w:val="20"/>
              </w:rPr>
              <w:t xml:space="preserve">Date</w:t>
            </w:r>
          </w:p>
        </w:tc>
      </w:tr>
      <w:tr>
        <w:trPr>
          <w:cantSplit/>
          <w:trHeight w:val="700" w:hRule="atLeast"/>
        </w:trPr>
        <w:tc>
          <w:tcPr>
            <w:tcW w:type="dxa" w:w="558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5583"/>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c>
          <w:tcPr>
            <w:tcW w:type="dxa" w:w="2792"/>
            <w:tcBorders>
              <w:top w:val="none" w:color="FFFFFF" w:sz="0"/>
              <w:left w:val="none" w:color="FFFFFF" w:sz="0"/>
              <w:bottom w:val="single" w:color="000000" w:sz="6"/>
              <w:right w:val="none" w:color="FFFFFF" w:sz="0"/>
            </w:tcBorders>
            <w:tcMar>
              <w:top w:type="dxa" w:w="40"/>
              <w:left w:type="dxa" w:w="80"/>
              <w:bottom w:type="dxa" w:w="40"/>
              <w:right w:type="dxa" w:w="80"/>
            </w:tcMar>
            <w:vAlign w:val="top"/>
          </w:tcPr>
          <w:p>
            <w:pPr>
              <w:keepNext w:val="false"/>
              <w:spacing w:after="20" w:before="20" w:line="240" w:lineRule="auto"/>
              <w:jc w:val="left"/>
            </w:pPr>
            <w:r>
              <w:rPr>
                <w:rFonts w:ascii="Times New Roman" w:cs="Times New Roman" w:eastAsia="Times New Roman" w:hAnsi="Times New Roman"/>
                <w:b w:val="false"/>
                <w:bCs w:val="false"/>
                <w:i w:val="false"/>
                <w:iCs w:val="false"/>
                <w:sz w:val="20"/>
                <w:szCs w:val="20"/>
              </w:rPr>
              <w:t xml:space="preserve"/>
            </w:r>
          </w:p>
        </w:tc>
      </w:tr>
    </w:tbl>
    <w:p>
      <w:pPr>
        <w:keepNext w:val="false"/>
        <w:keepLines w:val="false"/>
        <w:spacing w:after="0" w:before="0" w:line="360" w:lineRule="auto"/>
        <w:jc w:val="both"/>
      </w:pPr>
    </w:p>
    <w:p>
      <w:pPr>
        <w:keepNext w:val="false"/>
        <w:keepLines w:val="false"/>
        <w:spacing w:after="0" w:before="0" w:line="240" w:lineRule="auto"/>
        <w:jc w:val="left"/>
      </w:pPr>
      <w:r>
        <w:rPr>
          <w:rFonts w:ascii="Times New Roman" w:cs="Times New Roman" w:eastAsia="Times New Roman" w:hAnsi="Times New Roman"/>
          <w:b w:val="false"/>
          <w:bCs w:val="false"/>
          <w:i w:val="false"/>
          <w:iCs w:val="false"/>
          <w:sz w:val="20"/>
          <w:szCs w:val="20"/>
        </w:rPr>
        <w:t xml:space="preserve">Licence: Creative Commons Attribution-NonCommercial-NoDerivatives 4.0 International (CC BY-NC-ND 4.0), https://creativecommons.org/licenses/by-nc-nd/4.0/. The form may be copied and shared unchanged, for non-commercial use, with attribution to STRIKERS Elite Sports Group | University of St Andrews; adapted versions may not be distributed.</w:t>
      </w:r>
    </w:p>
    <w:sectPr>
      <w:headerReference w:type="default" r:id="rId11"/>
      <w:footerReference w:type="default" r:id="rId12"/>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Form 1.1,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Form 1.1,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uppressLineNumbers/>
      <w:jc w:val="center"/>
    </w:pPr>
    <w:r>
      <w:rPr>
        <w:rFonts w:ascii="Times New Roman" w:cs="Times New Roman" w:eastAsia="Times New Roman" w:hAnsi="Times New Roman"/>
        <w:sz w:val="16"/>
        <w:szCs w:val="16"/>
      </w:rPr>
      <w:t xml:space="preserve">PM-NEAT Form 1.1, pilot version 0.2  |  STRIKERS Elite Sports Group | University of St Andrews  |  CC BY-NC-ND 4.0  |  page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sz w:val="16"/>
        <w:szCs w:val="16"/>
      </w:rPr>
      <w:t xml:space="preserve">Pilot version 0.2: not yet validated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PM-NEAT Form 1.1: Needs Evaluation (pilot version 0.2)</dc:title>
  <dc:creator>Symposion</dc:creator>
  <cp:lastModifiedBy>Symposion</cp:lastModifiedBy>
  <cp:revision>1</cp:revision>
  <dcterms:created xsi:type="dcterms:W3CDTF">2026-10-22T20:27:48.574Z</dcterms:created>
  <dcterms:modified xsi:type="dcterms:W3CDTF">2026-10-22T20:27:48.575Z</dcterms:modified>
</cp:coreProperties>
</file>

<file path=docProps/custom.xml><?xml version="1.0" encoding="utf-8"?>
<Properties xmlns="http://schemas.openxmlformats.org/officeDocument/2006/custom-properties" xmlns:vt="http://schemas.openxmlformats.org/officeDocument/2006/docPropsVTypes"/>
</file>