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spacing w:after="0" w:before="0" w:line="360" w:lineRule="auto"/>
        <w:jc w:val="left"/>
      </w:pPr>
      <w:r>
        <w:rPr>
          <w:rFonts w:ascii="Times New Roman" w:cs="Times New Roman" w:eastAsia="Times New Roman" w:hAnsi="Times New Roman"/>
          <w:b w:val="false"/>
          <w:bCs w:val="false"/>
          <w:i/>
          <w:iCs/>
          <w:sz w:val="22"/>
          <w:szCs w:val="22"/>
        </w:rPr>
        <w:t xml:space="preserve">Pilot version 0.2: not yet validated</w:t>
      </w:r>
    </w:p>
    <w:p>
      <w:pPr>
        <w:keepNext w:val="false"/>
        <w:keepLines w:val="false"/>
        <w:spacing w:after="0" w:before="0" w:line="360" w:lineRule="auto"/>
        <w:jc w:val="left"/>
      </w:pPr>
      <w:r>
        <w:rPr>
          <w:rFonts w:ascii="Times New Roman" w:cs="Times New Roman" w:eastAsia="Times New Roman" w:hAnsi="Times New Roman"/>
          <w:b/>
          <w:bCs/>
          <w:i w:val="false"/>
          <w:iCs w:val="false"/>
          <w:sz w:val="28"/>
          <w:szCs w:val="28"/>
        </w:rPr>
        <w:t xml:space="preserve">Performance Medicine Needs Evaluation and Assessment Tool (PM-NEAT)</w:t>
      </w:r>
    </w:p>
    <w:p>
      <w:pPr>
        <w:keepNext w:val="false"/>
        <w:keepLines w:val="false"/>
        <w:spacing w:after="0" w:before="0" w:line="360" w:lineRule="auto"/>
        <w:jc w:val="left"/>
      </w:pPr>
      <w:r>
        <w:rPr>
          <w:rFonts w:ascii="Times New Roman" w:cs="Times New Roman" w:eastAsia="Times New Roman" w:hAnsi="Times New Roman"/>
          <w:b/>
          <w:bCs/>
          <w:i w:val="false"/>
          <w:iCs w:val="false"/>
          <w:sz w:val="22"/>
          <w:szCs w:val="22"/>
        </w:rPr>
        <w:t xml:space="preserve">Form 1.3: Gap Analysis</w:t>
      </w:r>
    </w:p>
    <w:p>
      <w:pPr>
        <w:keepNext w:val="false"/>
        <w:keepLines w:val="false"/>
        <w:spacing w:after="0" w:before="0" w:line="360" w:lineRule="auto"/>
        <w:jc w:val="left"/>
      </w:pPr>
      <w:r>
        <w:rPr>
          <w:rFonts w:ascii="Times New Roman" w:cs="Times New Roman" w:eastAsia="Times New Roman" w:hAnsi="Times New Roman"/>
          <w:b w:val="false"/>
          <w:bCs w:val="false"/>
          <w:i w:val="false"/>
          <w:iCs w:val="false"/>
          <w:sz w:val="22"/>
          <w:szCs w:val="22"/>
        </w:rPr>
        <w:t xml:space="preserve">STRIKERS Elite Sports Group | University of St Andrews</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About this form</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The Performance Medicine Needs Evaluation and Assessment Tool (PM-NEAT) is a structured instrument, built on the 34 domains of the Performance Medicine Integrative Framework (PMIF), with which a performance medicine service can be planned, audited and redesigned. It has three forms: Form 1.1, Needs Evaluation, rates what a setting requires in each domain and is used before a service is designed or commissioned; Form 1.2, Service Assessment, rates current provision and is used to audit an existing service; and Form 1.3, Gap Analysis, rates both together, the gap being need minus provision, and is used when a service is reviewed and redesigned.</w:t>
      </w:r>
    </w:p>
    <w:p>
      <w:pPr>
        <w:keepNext w:val="false"/>
        <w:keepLines w:val="false"/>
        <w:spacing w:after="0" w:before="0" w:line="360" w:lineRule="auto"/>
        <w:jc w:val="left"/>
      </w:pPr>
      <w:r>
        <w:rPr>
          <w:rFonts w:ascii="Times New Roman" w:cs="Times New Roman" w:eastAsia="Times New Roman" w:hAnsi="Times New Roman"/>
          <w:b w:val="false"/>
          <w:bCs w:val="false"/>
          <w:i w:val="false"/>
          <w:iCs w:val="false"/>
          <w:sz w:val="22"/>
          <w:szCs w:val="22"/>
        </w:rPr>
        <w:t xml:space="preserve">This is Form 1.3, Gap Analysis. Complete the orientation first, then rate anticipated need and current provision in each domain using the level descriptors of the rating guide, guided by the prompts beside each domain, which direct you to the evidence on which a rating should rest. Rate a domain not applicable only where it does not apply to the setting at all: a domain that applies but needs nothing at present is rated 0 for need, and a domain not applicable for need is not applicable for provision. Examples of each domain in the four settings are given in the user guide and in the web version of the tool (https://andrewhallorthosports.github.io/performance-medicine/tools/), which also calculates the summary. Performers means the athletes, service personnel, clinicians or employees whose work places sustained physical, cognitive or psychological demands on them.</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Version 0.2 is a pilot version and has not yet been validated. Form 1.1 and Form 1.2 and the Performance Medicine Operational Specification (PM-OpSpec, Form 2) use the same domains, and the ratings of a completed Gap Analysis (Form 1.3) can be carried into PM-OpSpec Section B and sub-component C3.</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Rating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986"/>
        <w:gridCol w:w="6137"/>
      </w:tblGrid>
      <w:tr>
        <w:trPr>
          <w:cantSplit/>
          <w:tblHeader/>
        </w:trPr>
        <w:tc>
          <w:tcPr>
            <w:tcW w:type="dxa" w:w="90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Rating</w:t>
            </w:r>
          </w:p>
        </w:tc>
        <w:tc>
          <w:tcPr>
            <w:tcW w:type="dxa" w:w="1986"/>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Label</w:t>
            </w:r>
          </w:p>
        </w:tc>
        <w:tc>
          <w:tcPr>
            <w:tcW w:type="dxa" w:w="613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Descriptor</w:t>
            </w:r>
          </w:p>
        </w:tc>
      </w:tr>
      <w:tr>
        <w:trPr>
          <w:cantSplit/>
        </w:trPr>
        <w:tc>
          <w:tcPr>
            <w:tcW w:type="dxa" w:w="9026"/>
            <w:gridSpan w:val="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Need</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N/A</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Not applicable</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The domain does not apply to this setting; it is excluded from every total.</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0</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current need</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The domain applies to this setting, but no provision is required at present.</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Low need</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An occasional or minor requirement that general staff can meet.</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Moderate need</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 regular requirement that calls for planned provision.</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High need</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 frequent, critical or high-risk requirement that calls for dedicated specialist provision.</w:t>
            </w:r>
          </w:p>
        </w:tc>
      </w:tr>
      <w:tr>
        <w:trPr>
          <w:cantSplit/>
        </w:trPr>
        <w:tc>
          <w:tcPr>
            <w:tcW w:type="dxa" w:w="9026"/>
            <w:gridSpan w:val="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N/A</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Not applicable</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The domain does not apply to this setting; it is excluded from every total.</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0</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None</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provision.</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Limited or ad hoc</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Occasional or informal provision, met by general staff or dependent on particular individuals.</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Planned or developing</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Planned, regular provision without dedicated specialist input, or specialist provision that is not yet delivered consistently.</w:t>
            </w:r>
          </w:p>
        </w:tc>
      </w:tr>
      <w:tr>
        <w:trPr>
          <w:cantSplit/>
        </w:trPr>
        <w:tc>
          <w:tcPr>
            <w:tcW w:type="dxa" w:w="90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98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Established</w:t>
            </w:r>
          </w:p>
        </w:tc>
        <w:tc>
          <w:tcPr>
            <w:tcW w:type="dxa" w:w="613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Dedicated specialist provision that is planned, consistent and documented, with named responsibility.</w:t>
            </w:r>
          </w:p>
        </w:tc>
      </w:tr>
    </w:tbl>
    <w:p>
      <w:pPr>
        <w:keepNext w:val="false"/>
        <w:keepLines w:val="false"/>
        <w:spacing w:after="0" w:before="0" w:line="360" w:lineRule="auto"/>
        <w:jc w:val="both"/>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971"/>
        <w:gridCol w:w="3611"/>
      </w:tblGrid>
      <w:tr>
        <w:trPr>
          <w:cantSplit/>
          <w:tblHeader/>
        </w:trPr>
        <w:tc>
          <w:tcPr>
            <w:tcW w:type="dxa" w:w="144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Gap band</w:t>
            </w:r>
          </w:p>
        </w:tc>
        <w:tc>
          <w:tcPr>
            <w:tcW w:type="dxa" w:w="3971"/>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Rule (gap = need minus provision)</w:t>
            </w:r>
          </w:p>
        </w:tc>
        <w:tc>
          <w:tcPr>
            <w:tcW w:type="dxa" w:w="3611"/>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Meaning</w:t>
            </w:r>
          </w:p>
        </w:tc>
      </w:tr>
      <w:tr>
        <w:trPr>
          <w:cantSplit/>
        </w:trPr>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Red</w:t>
            </w:r>
          </w:p>
        </w:tc>
        <w:tc>
          <w:tcPr>
            <w:tcW w:type="dxa" w:w="397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gap of 2 or more</w:t>
            </w:r>
          </w:p>
        </w:tc>
        <w:tc>
          <w:tcPr>
            <w:tcW w:type="dxa" w:w="361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priority action</w:t>
            </w:r>
          </w:p>
        </w:tc>
      </w:tr>
      <w:tr>
        <w:trPr>
          <w:cantSplit/>
        </w:trPr>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Amber</w:t>
            </w:r>
          </w:p>
        </w:tc>
        <w:tc>
          <w:tcPr>
            <w:tcW w:type="dxa" w:w="397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gap of 1</w:t>
            </w:r>
          </w:p>
        </w:tc>
        <w:tc>
          <w:tcPr>
            <w:tcW w:type="dxa" w:w="3611"/>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development</w:t>
            </w:r>
          </w:p>
        </w:tc>
      </w:tr>
      <w:tr>
        <w:trPr>
          <w:cantSplit/>
        </w:trPr>
        <w:tc>
          <w:tcPr>
            <w:tcW w:type="dxa" w:w="144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Green</w:t>
            </w:r>
          </w:p>
        </w:tc>
        <w:tc>
          <w:tcPr>
            <w:tcW w:type="dxa" w:w="3971"/>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gap of 0 or less</w:t>
            </w:r>
          </w:p>
        </w:tc>
        <w:tc>
          <w:tcPr>
            <w:tcW w:type="dxa" w:w="3611"/>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met or exceeded</w:t>
            </w:r>
          </w:p>
        </w:tc>
      </w:tr>
    </w:tbl>
    <w:p>
      <w:pPr>
        <w:keepNext w:val="false"/>
        <w:keepLines w:val="false"/>
        <w:spacing w:after="0" w:before="60" w:line="240" w:lineRule="auto"/>
        <w:jc w:val="left"/>
      </w:pPr>
      <w:r>
        <w:rPr>
          <w:rFonts w:ascii="Times New Roman" w:cs="Times New Roman" w:eastAsia="Times New Roman" w:hAnsi="Times New Roman"/>
          <w:b w:val="false"/>
          <w:bCs w:val="false"/>
          <w:i w:val="false"/>
          <w:iCs w:val="false"/>
          <w:sz w:val="20"/>
          <w:szCs w:val="20"/>
        </w:rPr>
        <w:t xml:space="preserve">A domain rated not applicable has no gap and is excluded from every total.</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Orientation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cantSplit/>
          <w:trHeight w:val="480" w:hRule="atLeast"/>
        </w:trPr>
        <w:tc>
          <w:tcPr>
            <w:tcW w:type="dxa" w:w="3430"/>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Organisation or service</w:t>
            </w:r>
          </w:p>
        </w:tc>
        <w:tc>
          <w:tcPr>
            <w:tcW w:type="dxa" w:w="5596"/>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Setting: sport / military and tactical / healthcare / corporate and occupational / other (specify)</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Function, level, and sport or field</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Performers: who, numbers, level and roles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Date or dates of assessment</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Lead assessor (name and role)</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Other assessors (names and roles)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Purpose of, or trigger for, the assessment</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Previous assessment?   Yes  /  No  /  Unknown</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Aims and objectives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Key performance indicators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Timeline: near, medium and longer term</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Existing performance medicine components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Specific requests or constraints</w:t>
            </w:r>
          </w:p>
        </w:tc>
        <w:tc>
          <w:tcPr>
            <w:tcW w:type="dxa" w:w="559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1: Medical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350"/>
        <w:gridCol w:w="4327"/>
        <w:gridCol w:w="837"/>
        <w:gridCol w:w="1047"/>
        <w:gridCol w:w="698"/>
        <w:gridCol w:w="907"/>
        <w:gridCol w:w="2094"/>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35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32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83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Need</w:t>
            </w:r>
          </w:p>
        </w:tc>
        <w:tc>
          <w:tcPr>
            <w:tcW w:type="dxa" w:w="104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Gap</w:t>
            </w:r>
          </w:p>
        </w:tc>
        <w:tc>
          <w:tcPr>
            <w:tcW w:type="dxa" w:w="90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Band</w:t>
            </w:r>
          </w:p>
        </w:tc>
        <w:tc>
          <w:tcPr>
            <w:tcW w:type="dxa" w:w="209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1.1</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and Exercise Medicine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Medical care of performers: diagnosis and medical management of injury and illness, medical screening, prescribing and oversight of health across training, competition, operations or work; emergency care is scored under 1.3 and rehabilitation under 3.1.</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medical care to performers, with what qualifications, and how much of their time is committed to this population?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documented medical screening process, and are its results acted on and reviewed?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holds medical oversight across training, competition, operations or work, and how are injury and illness recorded?</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1.2</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Lifestyle and Preventive Medicine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Health promotion and the prevention of chronic disease: assessment of and intervention on physical activity, diet, sleep, stress, substance use and social connection, and screening for long-term risk; specialist nutrition and sleep provision for performance are scored under 3.2 and 3.6.</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lifestyle risk (physical activity, diet, sleep, stress, substance use and social connection) assessed in a structured way, and how often?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What intervention or referral follows when a risk is identified?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performers' long-term health, beyond the current season, posting or role, considered in planning?</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1.3</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Emergency and Acute Care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Emergency action planning and the immediate care of acute injury and illness wherever performers train, compete, deploy or work, with the staff training, equipment and drills that it requires.</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a written emergency action plan for each venue or site, and when was it last rehearsed?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staff trained to the level of emergency care the setting requires, with training in date and equipment checked?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quickly can a performer with a serious acute injury or illness reach definitive care?</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1.4</w:t>
            </w:r>
          </w:p>
        </w:tc>
        <w:tc>
          <w:tcPr>
            <w:tcW w:type="dxa" w:w="335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Specialist Liaison and Referral</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Access to care beyond the service: referral pathways to external specialists and to secondary and tertiary services, and the coordination of performers' care across them.</w:t>
            </w:r>
          </w:p>
        </w:tc>
        <w:tc>
          <w:tcPr>
            <w:tcW w:type="dxa" w:w="432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there agreed referral routes to the specialists that performers most often need, and how long do referrals take?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coordinates care when a performer is under more than one external service?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Does information from external services return to the performer's record?</w:t>
            </w:r>
          </w:p>
        </w:tc>
        <w:tc>
          <w:tcPr>
            <w:tcW w:type="dxa" w:w="83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2: Psychological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350"/>
        <w:gridCol w:w="4327"/>
        <w:gridCol w:w="837"/>
        <w:gridCol w:w="1047"/>
        <w:gridCol w:w="698"/>
        <w:gridCol w:w="907"/>
        <w:gridCol w:w="2094"/>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35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32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83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Need</w:t>
            </w:r>
          </w:p>
        </w:tc>
        <w:tc>
          <w:tcPr>
            <w:tcW w:type="dxa" w:w="104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Gap</w:t>
            </w:r>
          </w:p>
        </w:tc>
        <w:tc>
          <w:tcPr>
            <w:tcW w:type="dxa" w:w="90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Band</w:t>
            </w:r>
          </w:p>
        </w:tc>
        <w:tc>
          <w:tcPr>
            <w:tcW w:type="dxa" w:w="209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2.1</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Performance Psychology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Performance psychology: mental skills, psychological readiness and preparation for performance under pressure, for individuals and teams.</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performance psychology support, with what qualifications, and how do performers access it?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psychological preparation for high-pressure events planned and reviewed, for individuals and for teams?</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2.2</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Clinical Psychology and Mental Health</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Mental health care: screening, assessment, treatment and onward referral for mental health conditions in performers; the response to acute crises is scored under 2.6.</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routine screening for mental health conditions, and what happens after a positive screen?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provides assessment and treatment, and how long do performers wait for it?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referral routes to specialist mental health services agreed and used?</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2.3</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Psychological Load Management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Psychological load: monitoring and management of stress, fatigue and burnout, and of psychological recovery; physical load is scored under 3.6.</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are stress, fatigue and burnout monitored, and by whom?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What action follows when monitoring shows rising psychological load?</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2.4</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Psychosocial Environment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psychosocial environment: team culture, psychological safety, relationships, leadership climate and the social conditions in which performers live and work.</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are team culture and psychological safety assessed, and how are the results acted 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relationships between performers, the coaches, commanders or managers around them, and support staff reviewed?</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2.5</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Cognitive Performance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Cognitive performance: attention, perception, decision-making under pressure, cognitive load and brain health.</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attention, decision-making and cognitive load assessed or trained, and how?</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brain health monitored over time, with cognitive baselines where head impact is a risk?</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2.6</w:t>
            </w:r>
          </w:p>
        </w:tc>
        <w:tc>
          <w:tcPr>
            <w:tcW w:type="dxa" w:w="335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Welfare, Crisis and Safeguarding</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Welfare support for performers and the immediate response to psychological crises, critical incidents and safeguarding concerns as they arise, with onward referral; the organisation's safeguarding framework is scored under 5.4.</w:t>
            </w:r>
          </w:p>
        </w:tc>
        <w:tc>
          <w:tcPr>
            <w:tcW w:type="dxa" w:w="432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a known route by which a performer in crisis, or a concern about one, reaches help at any hour?</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critical incidents followed by a structured response and onward referral?</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individual welfare and safeguarding concerns recorded and followed through?</w:t>
            </w:r>
          </w:p>
        </w:tc>
        <w:tc>
          <w:tcPr>
            <w:tcW w:type="dxa" w:w="83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3: Allied Health and Scientific</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350"/>
        <w:gridCol w:w="4327"/>
        <w:gridCol w:w="837"/>
        <w:gridCol w:w="1047"/>
        <w:gridCol w:w="698"/>
        <w:gridCol w:w="907"/>
        <w:gridCol w:w="2094"/>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35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32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83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Need</w:t>
            </w:r>
          </w:p>
        </w:tc>
        <w:tc>
          <w:tcPr>
            <w:tcW w:type="dxa" w:w="104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Gap</w:t>
            </w:r>
          </w:p>
        </w:tc>
        <w:tc>
          <w:tcPr>
            <w:tcW w:type="dxa" w:w="90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Band</w:t>
            </w:r>
          </w:p>
        </w:tc>
        <w:tc>
          <w:tcPr>
            <w:tcW w:type="dxa" w:w="209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3.1</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Physiotherapy and Rehabilitation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Musculoskeletal assessment, treatment and progressive rehabilitation to agreed criteria; the decision to return to full performance is scored under 5.2.</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musculoskeletal assessment and treatment, and how quickly can performers be seen?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rehabilitation plans written, progressed against agreed criteria and reviewed?</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3.2</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Nutrition and Dietetics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Nutritional assessment, fuelling and hydration strategies, body composition, supplement use and the dietetic management of clinical conditions.</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nutrition support, with what qualifications, and is it individual or group-based?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fuelling, hydration and supplement use assessed and governed, including the risk of low energy availability?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clinical conditions that need dietetic management identified and referred?</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3.3</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Strength, Conditioning and Exercise Science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Physical preparation: the design, prescription and delivery of strength, conditioning and exercise programmes, including the planning of training load; monitoring of the load received is scored under 3.6.</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designs and delivers physical preparation, with what qualifications?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programmes individualised, and is training load planned across the year or cycle?</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3.4</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and Exercise Physiology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Physiological assessment and support: aerobic and anaerobic capacity, metabolic and environmental physiology (heat, cold and altitude), and the interpretation of results for training and health; the testing programme as a whole is scored under 4.2.</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physiological assessment available, and are results interpreted and used in training and health decisions?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environmental demands such as heat, cold or altitude assessed and prepared for?</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3.5</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Biomechanics and Movement Science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Movement and technique analysis, the physical demands of the task and the biomechanics of injury and its prevention.</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movement or technique analysed, by whom and with what methods?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the physical demands of the task understood and used in preventing injury?</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3.6</w:t>
            </w:r>
          </w:p>
        </w:tc>
        <w:tc>
          <w:tcPr>
            <w:tcW w:type="dxa" w:w="335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Sleep, Recovery and Load Monitoring</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Sleep, recovery practice and the monitoring of the training, operational or occupational load that performers receive and of their response to it; the prescription of load is scored under 3.3 and psychological load under 2.3.</w:t>
            </w:r>
          </w:p>
        </w:tc>
        <w:tc>
          <w:tcPr>
            <w:tcW w:type="dxa" w:w="432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 load that performers receive measured, and is their response to it monitored?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sleep and recovery assessed, and what support follows a problem?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reviews the monitoring data, and how does it change practice?</w:t>
            </w:r>
          </w:p>
        </w:tc>
        <w:tc>
          <w:tcPr>
            <w:tcW w:type="dxa" w:w="83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4: Technical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350"/>
        <w:gridCol w:w="4327"/>
        <w:gridCol w:w="837"/>
        <w:gridCol w:w="1047"/>
        <w:gridCol w:w="698"/>
        <w:gridCol w:w="907"/>
        <w:gridCol w:w="2094"/>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35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32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83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Need</w:t>
            </w:r>
          </w:p>
        </w:tc>
        <w:tc>
          <w:tcPr>
            <w:tcW w:type="dxa" w:w="104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Gap</w:t>
            </w:r>
          </w:p>
        </w:tc>
        <w:tc>
          <w:tcPr>
            <w:tcW w:type="dxa" w:w="90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Band</w:t>
            </w:r>
          </w:p>
        </w:tc>
        <w:tc>
          <w:tcPr>
            <w:tcW w:type="dxa" w:w="209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4.1</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Data Systems and Performance Analytics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Data infrastructure and analytics: the platforms, integration, analysis and reporting that turn health and performance data into information for decisions; information governance is scored under 5.3.</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Where are health and performance data held, and can they be brought together?</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analyses the data, and how are the results reported to those who make decisions?</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4.2</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Performance Testing and Assessment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testing programme across disciplines: selection and scheduling of standardised tests, their reliability and quality control, and benchmarking; the interpretation of results within each discipline is scored in that discipline's domain.</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a schedule of standardised tests across disciplines, and is it followed?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the reliability and quality control of the tests known, and are results benchmarked?</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4.3</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Technology and Digital Integration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Wearable, positional, biometric and digital health technologies: their selection, evaluation, deployment and integration into practice; the platforms that store and report their data are scored under 4.1.</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Which wearable, positional or digital health technologies are used, and were they evaluated before adoption?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are they integrated into practice, and who is responsible for them?</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4.4</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Research and Performance Science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In-house research and performance science capability: the people, skills and time to generate local evidence through applied studies, innovation projects and the evaluation of new methods; external research partnerships are scored under 7.2.</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have staff with the skills and protected time to run applied studies?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new methods evaluated locally before they are adopted?</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4.5</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Environment, Facility and Equipment Management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Facilities and equipment: training, operational and clinical spaces, and the provision, maintenance and safety of equipment; emergency equipment is scored under 1.3.</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training, operational and clinical spaces fit for purpose and safe?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equipment maintained, logged and replaced on schedule?</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4.6</w:t>
            </w:r>
          </w:p>
        </w:tc>
        <w:tc>
          <w:tcPr>
            <w:tcW w:type="dxa" w:w="335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Operational Logistics and Coordination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Operational logistics: travel, scheduling, deployments and multi-site operations, and the movement of staff, equipment and medicines between sites.</w:t>
            </w:r>
          </w:p>
        </w:tc>
        <w:tc>
          <w:tcPr>
            <w:tcW w:type="dxa" w:w="432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are travel, scheduling and multi-site work planned, and who coordinates them?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are staff, equipment and medicines moved between sites, and is this governed?</w:t>
            </w:r>
          </w:p>
        </w:tc>
        <w:tc>
          <w:tcPr>
            <w:tcW w:type="dxa" w:w="83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5: Clinical Practice (Overarching Aspect, applying across all four quadrants)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350"/>
        <w:gridCol w:w="4327"/>
        <w:gridCol w:w="837"/>
        <w:gridCol w:w="1047"/>
        <w:gridCol w:w="698"/>
        <w:gridCol w:w="907"/>
        <w:gridCol w:w="2094"/>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35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32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83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Need</w:t>
            </w:r>
          </w:p>
        </w:tc>
        <w:tc>
          <w:tcPr>
            <w:tcW w:type="dxa" w:w="104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Gap</w:t>
            </w:r>
          </w:p>
        </w:tc>
        <w:tc>
          <w:tcPr>
            <w:tcW w:type="dxa" w:w="90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Band</w:t>
            </w:r>
          </w:p>
        </w:tc>
        <w:tc>
          <w:tcPr>
            <w:tcW w:type="dxa" w:w="209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5.1</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Governance and Clinical Accountability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governance: lines of clinical accountability, professional registration and scope of practice, policies, risk and incident management, and regulatory compliance; the governance and management of the wider organisation sit in the framework's outer boundary.</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a named clinical lead accountable for the service, and are staff registered and working within their scope of practice?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policies current, and are risks and incidents recorded and reviewed?</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5.2</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Clinical Decision-Making and Pathways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decision-making: shared decision-making with performers, inter-professional case review, care pathways across disciplines and decisions on return to full performance.</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performers involved in decisions about their care, and is this recorded?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complex cases reviewed across disciplines, and are care pathways written?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are decisions on return to full performance made, and by whom?</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5.3</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Documentation, Records and Information Governance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Records and information governance: clinical record systems, confidentiality, data protection compliance and the protocols for sharing information across disciplines and organisations.</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clinical records complete, secure and kept to professional standards?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written protocol, with consent, for sharing information between disciplines and with coaches, commanders or managers?</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5.4</w:t>
            </w:r>
          </w:p>
        </w:tc>
        <w:tc>
          <w:tcPr>
            <w:tcW w:type="dxa" w:w="335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Safeguarding and Duty of Care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safeguarding framework: child and adult protection policies, designated safeguarding leads, consent procedures, reporting and escalation routes, and the duty of care owed to performers and staff; the response to individual concerns is scored under 2.6.</w:t>
            </w:r>
          </w:p>
        </w:tc>
        <w:tc>
          <w:tcPr>
            <w:tcW w:type="dxa" w:w="432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child and adult safeguarding policies current, and is there a named designated lead?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consent procedures, and the routes for reporting and escalation, written and known to staff?</w:t>
            </w:r>
          </w:p>
        </w:tc>
        <w:tc>
          <w:tcPr>
            <w:tcW w:type="dxa" w:w="83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6: Education and Development (Overarching Aspect, applying across all four quadrants)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350"/>
        <w:gridCol w:w="4327"/>
        <w:gridCol w:w="837"/>
        <w:gridCol w:w="1047"/>
        <w:gridCol w:w="698"/>
        <w:gridCol w:w="907"/>
        <w:gridCol w:w="2094"/>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35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32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83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Need</w:t>
            </w:r>
          </w:p>
        </w:tc>
        <w:tc>
          <w:tcPr>
            <w:tcW w:type="dxa" w:w="104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Gap</w:t>
            </w:r>
          </w:p>
        </w:tc>
        <w:tc>
          <w:tcPr>
            <w:tcW w:type="dxa" w:w="90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Band</w:t>
            </w:r>
          </w:p>
        </w:tc>
        <w:tc>
          <w:tcPr>
            <w:tcW w:type="dxa" w:w="209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6.1</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Staff CPD and Professional Development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Continuing professional development of current staff: training plans, protected learning time and competency frameworks within each discipline and for working across disciplines.</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each member of staff have a development plan and protected learning time?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competency framework within each discipline and for working across disciplines?</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6.2</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Mentorship, Supervision and Workforce Development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and professional supervision and mentoring of current staff, and the development of individuals within their roles through them; the recruitment and training of future practitioners is scored under 6.4.</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 staff receive regular clinical or professional supervision, and is it recorded?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mentoring available, particularly for staff new to the setting?</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6.3</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Education for Performers and Teams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Education of performers and of the coaches, commanders and managers around them: health literacy, performance education and support for informed self-management.</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performers, and the coaches, commanders or managers around them, educated about health and performance?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Does the education support performers to manage their own health?</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6.4</w:t>
            </w:r>
          </w:p>
        </w:tc>
        <w:tc>
          <w:tcPr>
            <w:tcW w:type="dxa" w:w="335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Workforce Pipeline and Training Capacity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pipeline of future practitioners: placements, internships and training posts, the capacity to host and teach them, and succession planning for key roles.</w:t>
            </w:r>
          </w:p>
        </w:tc>
        <w:tc>
          <w:tcPr>
            <w:tcW w:type="dxa" w:w="432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host placements, internships or training posts, and does it have the capacity to teach them?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succession plan for key roles?</w:t>
            </w:r>
          </w:p>
        </w:tc>
        <w:tc>
          <w:tcPr>
            <w:tcW w:type="dxa" w:w="83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7: Research and Knowledge Translation (Overarching Aspect, applying across all four quadrants)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350"/>
        <w:gridCol w:w="4327"/>
        <w:gridCol w:w="837"/>
        <w:gridCol w:w="1047"/>
        <w:gridCol w:w="698"/>
        <w:gridCol w:w="907"/>
        <w:gridCol w:w="2094"/>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35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32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83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Need</w:t>
            </w:r>
          </w:p>
        </w:tc>
        <w:tc>
          <w:tcPr>
            <w:tcW w:type="dxa" w:w="104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Gap</w:t>
            </w:r>
          </w:p>
        </w:tc>
        <w:tc>
          <w:tcPr>
            <w:tcW w:type="dxa" w:w="90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Band</w:t>
            </w:r>
          </w:p>
        </w:tc>
        <w:tc>
          <w:tcPr>
            <w:tcW w:type="dxa" w:w="209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7.1</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Service Audit and Quality Improvement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audit and quality improvement: audit against agreed standards, monitoring of outcomes and structured improvement of the service.</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practice audited against agreed standards, and are audits completed through to re-audit?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outcomes monitored and used to improve the service?</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7.2</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Research Engagement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Engagement with the wider research community: participation in external studies, academic partnerships, research ethics and governance, and the use of the service's data for research; in-house research capability is scored under 4.4.</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take part in external studies or hold academic partnerships?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research governed, with ethical approval and data sharing agreements in place?</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7.3</w:t>
            </w:r>
          </w:p>
        </w:tc>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Evidence-Informed Practice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processes by which current best evidence is found, appraised and built into protocols and individual decisions.</w:t>
            </w:r>
          </w:p>
        </w:tc>
        <w:tc>
          <w:tcPr>
            <w:tcW w:type="dxa" w:w="432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is current evidence found and appraised, and by whom?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protocols referenced, and are they updated when the evidence changes?</w:t>
            </w:r>
          </w:p>
        </w:tc>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7.4</w:t>
            </w:r>
          </w:p>
        </w:tc>
        <w:tc>
          <w:tcPr>
            <w:tcW w:type="dxa" w:w="335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Knowledge Dissemination and Translation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Sharing knowledge beyond the service: publication, conference presentation, external teaching and the translation of the service's learning into practice elsewhere.</w:t>
            </w:r>
          </w:p>
        </w:tc>
        <w:tc>
          <w:tcPr>
            <w:tcW w:type="dxa" w:w="432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share what it learns, through publication, presentation or external teaching?</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its learning taken into practice in other services?</w:t>
            </w:r>
          </w:p>
        </w:tc>
        <w:tc>
          <w:tcPr>
            <w:tcW w:type="dxa" w:w="83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04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90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60" w:line="240" w:lineRule="auto"/>
        <w:jc w:val="left"/>
      </w:pPr>
      <w:r>
        <w:rPr>
          <w:rFonts w:ascii="Times New Roman" w:cs="Times New Roman" w:eastAsia="Times New Roman" w:hAnsi="Times New Roman"/>
          <w:b w:val="false"/>
          <w:bCs w:val="false"/>
          <w:i/>
          <w:iCs/>
          <w:sz w:val="20"/>
          <w:szCs w:val="20"/>
        </w:rPr>
        <w:t xml:space="preserve">Rate each domain from 0 to 3, or N/A. Gap is need minus provision; band is red for a gap of 2 or more, amber for 1 and green for 0 or less.</w:t>
      </w:r>
    </w:p>
    <w:p>
      <w:pPr>
        <w:sectPr>
          <w:headerReference w:type="default" r:id="rId9"/>
          <w:footerReference w:type="default" r:id="rId10"/>
          <w:pgSz w:w="16838" w:h="11906" w:orient="landscape"/>
          <w:pgMar w:top="1440" w:right="1440" w:bottom="1440" w:left="1440" w:header="708" w:footer="708" w:gutter="0"/>
          <w:pgNumType/>
          <w:docGrid w:linePitch="360"/>
        </w:sectPr>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Synthesis and summary</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256"/>
        <w:gridCol w:w="1256"/>
        <w:gridCol w:w="1256"/>
        <w:gridCol w:w="1256"/>
        <w:gridCol w:w="1396"/>
        <w:gridCol w:w="4188"/>
      </w:tblGrid>
      <w:tr>
        <w:trPr>
          <w:cantSplit/>
          <w:tblHeader/>
        </w:trPr>
        <w:tc>
          <w:tcPr>
            <w:tcW w:type="dxa" w:w="335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Section</w:t>
            </w:r>
          </w:p>
        </w:tc>
        <w:tc>
          <w:tcPr>
            <w:tcW w:type="dxa" w:w="1256"/>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Domains rated</w:t>
            </w:r>
          </w:p>
        </w:tc>
        <w:tc>
          <w:tcPr>
            <w:tcW w:type="dxa" w:w="1256"/>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Total need</w:t>
            </w:r>
          </w:p>
        </w:tc>
        <w:tc>
          <w:tcPr>
            <w:tcW w:type="dxa" w:w="1256"/>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Unmet need</w:t>
            </w:r>
          </w:p>
        </w:tc>
        <w:tc>
          <w:tcPr>
            <w:tcW w:type="dxa" w:w="1256"/>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Surplus</w:t>
            </w:r>
          </w:p>
        </w:tc>
        <w:tc>
          <w:tcPr>
            <w:tcW w:type="dxa" w:w="1396"/>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Priority rating</w:t>
            </w:r>
          </w:p>
        </w:tc>
        <w:tc>
          <w:tcPr>
            <w:tcW w:type="dxa" w:w="418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Key observations</w:t>
            </w:r>
          </w:p>
        </w:tc>
      </w:tr>
      <w:tr>
        <w:trPr>
          <w:cantSplit/>
          <w:trHeight w:val="520" w:hRule="atLeast"/>
        </w:trPr>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 Medical</w:t>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3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418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 Psychological</w:t>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3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418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 Allied Health and Scientific</w:t>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3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418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 Technical</w:t>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3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418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 Clinical Practice</w:t>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3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418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 Education and Development</w:t>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3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418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35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 Research and Knowledge Translation</w:t>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3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418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35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All sections</w:t>
            </w:r>
          </w:p>
        </w:tc>
        <w:tc>
          <w:tcPr>
            <w:tcW w:type="dxa" w:w="125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5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39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418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60" w:line="240" w:lineRule="auto"/>
        <w:jc w:val="left"/>
      </w:pPr>
      <w:r>
        <w:rPr>
          <w:rFonts w:ascii="Times New Roman" w:cs="Times New Roman" w:eastAsia="Times New Roman" w:hAnsi="Times New Roman"/>
          <w:b w:val="false"/>
          <w:bCs w:val="false"/>
          <w:i w:val="false"/>
          <w:iCs w:val="false"/>
          <w:sz w:val="20"/>
          <w:szCs w:val="20"/>
        </w:rPr>
        <w:t xml:space="preserve">For each section: domains rated counts the domains with both ratings entered, those rated not applicable being excluded from every count and total; total need sums their need ratings; unmet need sums their positive gaps; surplus sums provision beyond need, as a positive number, so that surplus never offsets a shortfall; and the priority rating is red if any domain is red, amber if any is amber and none red, and otherwise green, a section with no rated domain having no rating.</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Priority actions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37"/>
        <w:gridCol w:w="2233"/>
        <w:gridCol w:w="6700"/>
        <w:gridCol w:w="2094"/>
        <w:gridCol w:w="2094"/>
      </w:tblGrid>
      <w:tr>
        <w:trPr>
          <w:cantSplit/>
          <w:tblHeader/>
        </w:trPr>
        <w:tc>
          <w:tcPr>
            <w:tcW w:type="dxa" w:w="83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w:t>
            </w:r>
          </w:p>
        </w:tc>
        <w:tc>
          <w:tcPr>
            <w:tcW w:type="dxa" w:w="223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w:t>
            </w:r>
          </w:p>
        </w:tc>
        <w:tc>
          <w:tcPr>
            <w:tcW w:type="dxa" w:w="67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Action required</w:t>
            </w:r>
          </w:p>
        </w:tc>
        <w:tc>
          <w:tcPr>
            <w:tcW w:type="dxa" w:w="209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Lead</w:t>
            </w:r>
          </w:p>
        </w:tc>
        <w:tc>
          <w:tcPr>
            <w:tcW w:type="dxa" w:w="209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Timeline</w:t>
            </w:r>
          </w:p>
        </w:tc>
      </w:tr>
      <w:tr>
        <w:trPr>
          <w:cantSplit/>
          <w:trHeight w:val="600" w:hRule="atLeast"/>
        </w:trPr>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2233"/>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70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600" w:hRule="atLeast"/>
        </w:trPr>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2233"/>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70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600" w:hRule="atLeast"/>
        </w:trPr>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2233"/>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70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600" w:hRule="atLeast"/>
        </w:trPr>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2233"/>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70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600" w:hRule="atLeast"/>
        </w:trPr>
        <w:tc>
          <w:tcPr>
            <w:tcW w:type="dxa" w:w="83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223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7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Narrative conclusion and recommendations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rPr>
          <w:cantSplit/>
          <w:trHeight w:val="3600" w:hRule="atLeast"/>
        </w:trPr>
        <w:tc>
          <w:tcPr>
            <w:tcW w:type="dxa" w:w="1395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Sign-off</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583"/>
        <w:gridCol w:w="5583"/>
        <w:gridCol w:w="2792"/>
      </w:tblGrid>
      <w:tr>
        <w:trPr>
          <w:cantSplit/>
          <w:tblHeader/>
        </w:trPr>
        <w:tc>
          <w:tcPr>
            <w:tcW w:type="dxa" w:w="558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Lead assessor name</w:t>
            </w:r>
          </w:p>
        </w:tc>
        <w:tc>
          <w:tcPr>
            <w:tcW w:type="dxa" w:w="558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Signature</w:t>
            </w:r>
          </w:p>
        </w:tc>
        <w:tc>
          <w:tcPr>
            <w:tcW w:type="dxa" w:w="2792"/>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Date</w:t>
            </w:r>
          </w:p>
        </w:tc>
      </w:tr>
      <w:tr>
        <w:trPr>
          <w:cantSplit/>
          <w:trHeight w:val="700" w:hRule="atLeast"/>
        </w:trPr>
        <w:tc>
          <w:tcPr>
            <w:tcW w:type="dxa" w:w="558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558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2"/>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val="false"/>
        <w:keepLines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Licence: Creative Commons Attribution-NonCommercial-NoDerivatives 4.0 International (CC BY-NC-ND 4.0), https://creativecommons.org/licenses/by-nc-nd/4.0/. The form may be copied and shared unchanged, for non-commercial use, with attribution to STRIKERS Elite Sports Group | University of St Andrews; adapted versions may not be distributed.</w:t>
      </w:r>
    </w:p>
    <w:sectPr>
      <w:headerReference w:type="default" r:id="rId11"/>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PM-NEAT Form 1.3,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PM-NEAT Form 1.3,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PM-NEAT Form 1.3,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PM-NEAT Form 1.3: Gap Analysis (pilot version 0.2)</dc:title>
  <dc:creator>Symposion</dc:creator>
  <cp:lastModifiedBy>Symposion</cp:lastModifiedBy>
  <cp:revision>1</cp:revision>
  <dcterms:created xsi:type="dcterms:W3CDTF">2026-10-22T20:27:48.638Z</dcterms:created>
  <dcterms:modified xsi:type="dcterms:W3CDTF">2026-10-22T20:27:48.638Z</dcterms:modified>
</cp:coreProperties>
</file>

<file path=docProps/custom.xml><?xml version="1.0" encoding="utf-8"?>
<Properties xmlns="http://schemas.openxmlformats.org/officeDocument/2006/custom-properties" xmlns:vt="http://schemas.openxmlformats.org/officeDocument/2006/docPropsVTypes"/>
</file>