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360" w:lineRule="auto"/>
        <w:jc w:val="left"/>
      </w:pPr>
      <w:r>
        <w:rPr>
          <w:rFonts w:ascii="Times New Roman" w:cs="Times New Roman" w:eastAsia="Times New Roman" w:hAnsi="Times New Roman"/>
          <w:b w:val="false"/>
          <w:bCs w:val="false"/>
          <w:i/>
          <w:iCs/>
          <w:sz w:val="22"/>
          <w:szCs w:val="22"/>
        </w:rPr>
        <w:t xml:space="preserve">Pilot version 0.2: not yet validated</w:t>
      </w:r>
    </w:p>
    <w:p>
      <w:pPr>
        <w:keepNext w:val="false"/>
        <w:keepLines w:val="false"/>
        <w:spacing w:after="0" w:before="0" w:line="360" w:lineRule="auto"/>
        <w:jc w:val="left"/>
      </w:pPr>
      <w:r>
        <w:rPr>
          <w:rFonts w:ascii="Times New Roman" w:cs="Times New Roman" w:eastAsia="Times New Roman" w:hAnsi="Times New Roman"/>
          <w:b/>
          <w:bCs/>
          <w:i w:val="false"/>
          <w:iCs w:val="false"/>
          <w:sz w:val="28"/>
          <w:szCs w:val="28"/>
        </w:rPr>
        <w:t xml:space="preserve">Performance Medicine Operational Specification (PM-OpSpec)</w:t>
      </w:r>
    </w:p>
    <w:p>
      <w:pPr>
        <w:keepNext w:val="false"/>
        <w:keepLines w:val="false"/>
        <w:spacing w:after="0" w:before="0" w:line="360" w:lineRule="auto"/>
        <w:jc w:val="left"/>
      </w:pPr>
      <w:r>
        <w:rPr>
          <w:rFonts w:ascii="Times New Roman" w:cs="Times New Roman" w:eastAsia="Times New Roman" w:hAnsi="Times New Roman"/>
          <w:b/>
          <w:bCs/>
          <w:i w:val="false"/>
          <w:iCs w:val="false"/>
          <w:sz w:val="22"/>
          <w:szCs w:val="22"/>
        </w:rPr>
        <w:t xml:space="preserve">Form 2: Operational Specification</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STRIKERS Elite Sports Group | University of St Andrews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About this document</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The Performance Medicine Operational Specification (PM-OpSpec) sets out the purpose, responsibilities and core functions of a performance medicine service, domain by domain. It is a live commissioning document and governance reference rather than a one-time audit, structured in nine operational sub-components, each of which is placed at one of four maturity levels: Not in place, Foundation, Established or Advanced. The levels describe the service; they are not scored or totalled.</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The document should be completed by the service's senior performance medicine lead in consultation with those who use and govern the service, held under version control, and reviewed at least annually or after any significant change. Where a PM-NEAT assessment has been completed, its ratings are carried into Section B and sub-component C3, where the lead can edit them; the web version of the tool (https://andrewhallorthosports.github.io/performance-medicine/tools/) does this automatically. Performers means the athletes, service personnel, clinicians or employees whose work places sustained physical, cognitive or psychological demands on them.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Statutory, regulatory and professional requirements, including data protection, professional registration and safeguarding, apply at every level; the levels describe maturity beyond compliance with them.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Version 0.2 is a pilot version and has not yet been validated.</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A: Setting and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Organisation or service name</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Setting</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Sport  /  Military and tactical  /  Healthcare  /  Corporate and occupational  /  Other (specify)</w:t>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Sport or field</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Level of the service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International  /  National  /  Regional  /  Local (club, unit, department or site)  /  Individual</w:t>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Service lead or responsible person</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Document version and date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Review date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Purpose of the document</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Commissioning  /  Governance reference  /  Annual review  /  Service redesign  /  Other</w:t>
            </w:r>
          </w:p>
        </w:tc>
      </w:tr>
    </w:tbl>
    <w:p>
      <w:pPr>
        <w:keepNext w:val="false"/>
        <w:keepLines w:val="false"/>
        <w:spacing w:after="0" w:before="0" w:line="360" w:lineRule="auto"/>
        <w:jc w:val="both"/>
      </w:pPr>
    </w:p>
    <w:p>
      <w:pPr>
        <w:sectPr>
          <w:headerReference w:type="default" r:id="rId7"/>
          <w:footerReference w:type="default" r:id="rId8"/>
          <w:pgSz w:w="11906" w:h="16838" w:orient="portrait"/>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B: PMIF domain coverage</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For each domain, describe the provision in this service, confirm whether it is in scope, and note any local adaptation. Where a PM-NEAT Gap Analysis (Form 1.3) has been completed, enter its need and provision ratings; a domain rated not applicable is out of scope.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71"/>
        <w:gridCol w:w="4606"/>
        <w:gridCol w:w="1117"/>
        <w:gridCol w:w="1117"/>
        <w:gridCol w:w="1256"/>
        <w:gridCol w:w="2791"/>
      </w:tblGrid>
      <w:tr>
        <w:trPr>
          <w:cantSplit/>
          <w:tblHeader/>
        </w:trPr>
        <w:tc>
          <w:tcPr>
            <w:tcW w:type="dxa" w:w="307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Section and domain</w:t>
            </w:r>
          </w:p>
        </w:tc>
        <w:tc>
          <w:tcPr>
            <w:tcW w:type="dxa" w:w="460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Description of provision in this service</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In scope?</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PM-NEAT need</w:t>
            </w:r>
          </w:p>
        </w:tc>
        <w:tc>
          <w:tcPr>
            <w:tcW w:type="dxa" w:w="125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PM-NEAT provision</w:t>
            </w:r>
          </w:p>
        </w:tc>
        <w:tc>
          <w:tcPr>
            <w:tcW w:type="dxa" w:w="279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 and local adaptation</w:t>
            </w:r>
          </w:p>
        </w:tc>
      </w:tr>
      <w:tr>
        <w:trPr>
          <w:cantSplit/>
        </w:trPr>
        <w:tc>
          <w:tcPr>
            <w:tcW w:type="dxa" w:w="13958"/>
            <w:gridSpan w:val="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1 Medical</w:t>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1.1 Sport and Exercise Medicine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1.2 Lifestyle and Preventive Medicine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1.3 Emergency and Acute Care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1.4 Specialist Liaison and Referral</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13958"/>
            <w:gridSpan w:val="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2 Psychological</w:t>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2.1 Performance Psychology</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2.2 Clinical Psychology and Mental Health</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2.3 Psychological Load Management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2.4 Psychosocial Environment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2.5 Cognitive Performance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2.6 Welfare, Crisis and Safeguarding</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13958"/>
            <w:gridSpan w:val="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3 Allied Health and Scientific</w:t>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3.1 Physiotherapy and Rehabilitation</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3.2 Nutrition and Dietetics</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3.3 Strength, Conditioning and Exercise Science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3.4 Sport and Exercise Physiology</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3.5 Biomechanics and Movement Science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3.6 Sleep, Recovery and Load Monitoring</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13958"/>
            <w:gridSpan w:val="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4 Technical</w:t>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4.1 Data Systems and Performance Analytics</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4.2 Performance Testing and Assessment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4.3 Technology and Digital Integration</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4.4 Research and Performance Science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4.5 Environment, Facility and Equipment Management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4.6 Operational Logistics and Coordination</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13958"/>
            <w:gridSpan w:val="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5 Clinical Practice (Overarching Aspect)</w:t>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5.1 Governance and Clinical Accountability</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5.2 Clinical Decision-Making and Pathways</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5.3 Documentation, Records and Information Governance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5.4 Safeguarding and Duty of Care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13958"/>
            <w:gridSpan w:val="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6 Education and Development (Overarching Aspect)</w:t>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6.1 Staff CPD and Professional Development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6.2 Mentorship, Supervision and Workforce Development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6.3 Education for Performers and Teams</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6.4 Workforce Pipeline and Training Capacity</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13958"/>
            <w:gridSpan w:val="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7 Research and Knowledge Translation (Overarching Aspect)</w:t>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7.1 Service Audit and Quality Improvement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7.2 Research Engagement</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7.3 Evidence-Informed Practice</w:t>
            </w:r>
          </w:p>
        </w:tc>
        <w:tc>
          <w:tcPr>
            <w:tcW w:type="dxa" w:w="460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60" w:hRule="atLeast"/>
        </w:trPr>
        <w:tc>
          <w:tcPr>
            <w:tcW w:type="dxa" w:w="307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7.4 Knowledge Dissemination and Translation</w:t>
            </w:r>
          </w:p>
        </w:tc>
        <w:tc>
          <w:tcPr>
            <w:tcW w:type="dxa" w:w="460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sectPr>
          <w:headerReference w:type="default" r:id="rId9"/>
          <w:footerReference w:type="default" r:id="rId10"/>
          <w:pgSz w:w="16838" w:h="11906" w:orient="landscape"/>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C: Operational structure</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Complete each of the nine sub-components and place it at one maturity level, using the reference table at the end of this section.</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C1 Purpose and scope</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the overarching purpose of this Performance Medicine system and the boundaries of its scope within the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Mission statement</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Scope (what is included)</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Out of scope (explicit exclusions)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C2 Population and user group</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the performers and stakeholders served by this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Primary performer group</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Number of performers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Level and roles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Secondary user groups (staff, coaches, families)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C3 Domain coverage</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Summarise the overall domain coverage of the system. Detail is captured in Section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Domains with full provision</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Domains with partial or developing provision</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Domains with no provision</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Domains not currently in scope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C4 Team structure</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the composition, roles, and reporting structure of the Performance Medicine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Team lead role and title</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Core team members (role and WTE)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Associated / sessional staff</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Reporting structure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Inter-professional collaboration arrangements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C5 Governance and accountability</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clinical governance arrangements, accountability structures, and regulatory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Clinical governance lead</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Accountability framework</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Regulatory registrations and standards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Safeguarding and duty of care arrangements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C6 Information systems</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the data, record-keeping, and information governance arrangements.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Medical record system</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Performance data platforms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Information sharing protocols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GDPR / data protection compliance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C7 Decision-making pathways</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the key clinical and operational decision-making processes and pathways.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Return-to-performance pathway</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Referral pathways (internal and external)</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Emergency and acute care pathway</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Mental health and welfare pathway</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Shared decision-making arrangements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C8 Evaluation expectations</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how the system will be monitored, audited, and evaluated.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Key performance indicators</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Audit and quality improvement cycle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Outcome reporting arrangements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Review frequency</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C9 Required resources and enabling conditions</w:t>
      </w:r>
    </w:p>
    <w:p>
      <w:pPr>
        <w:keepNext/>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Define the resource requirements and enabling conditions necessary for the system to function as specified.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Workforce requirements</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Facility and equipment requirements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Budget and financial resources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Technology and data infrastructure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Organisational enablers (leadership, culture)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Current maturity level</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in place   /   Foundation   /   Established   /   Advanced</w:t>
            </w:r>
          </w:p>
        </w:tc>
      </w:tr>
    </w:tbl>
    <w:p>
      <w:pPr>
        <w:sectPr>
          <w:headerReference w:type="default" r:id="rId11"/>
          <w:footerReference w:type="default" r:id="rId12"/>
          <w:pgSz w:w="11906" w:h="16838" w:orient="portrait"/>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Maturity model reference</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Use these descriptors to place each sub-component at one level. Statutory, regulatory and professional requirements, including data protection, professional registration and safeguarding, apply at every level; the levels describe maturity beyond compliance with them.</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233"/>
        <w:gridCol w:w="2931"/>
        <w:gridCol w:w="2931"/>
        <w:gridCol w:w="2931"/>
        <w:gridCol w:w="2932"/>
      </w:tblGrid>
      <w:tr>
        <w:trPr>
          <w:cantSplit/>
          <w:tblHeader/>
        </w:trPr>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Sub-component</w:t>
            </w:r>
          </w:p>
        </w:tc>
        <w:tc>
          <w:tcPr>
            <w:tcW w:type="dxa" w:w="293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 in place</w:t>
            </w:r>
          </w:p>
        </w:tc>
        <w:tc>
          <w:tcPr>
            <w:tcW w:type="dxa" w:w="293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Foundation</w:t>
            </w:r>
          </w:p>
        </w:tc>
        <w:tc>
          <w:tcPr>
            <w:tcW w:type="dxa" w:w="293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Established</w:t>
            </w:r>
          </w:p>
        </w:tc>
        <w:tc>
          <w:tcPr>
            <w:tcW w:type="dxa" w:w="293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Advanced</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C1 Purpose and scope</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purpose or scope has been agreed for the service</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Informally understood; not documented</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Documented purpose; clear scope boundaries; known to key staff</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Embedded in strategy; regularly reviewed; communicated across organisation</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C2 Population and user group</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performers the service is for have not been identified</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Informally known; not formally defined</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Defined population; roles documented; needs assessment completed</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Dynamic population profiling; stratified needs; reviewed annually</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C3 Domain coverage</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domain is provided for in a planned way</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Ad hoc provision; significant gaps</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Core domains covered; gaps identified and planned for</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Comprehensive coverage; all in-scope PMIF domains addressed; gaps monitored</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C4 Team structure</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staff hold a Performance Medicine role</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Single or informal; no defined structure</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Defined roles; reporting lines established; MDT meetings in place</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Full interdisciplinary team; formalised governance; succession planning</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C5 Governance and accountability</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one is accountable for the clinical care provided</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formal governance; ad hoc accountability</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Clinical lead identified; basic governance in place; policies documented</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Full governance framework; external audit; regular review against professional standards</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C6 Information systems</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records of performers' health or performance are kept</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Paper-based or informal; no integration</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Electronic records in use; basic data sharing; information governance documented</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Integrated data ecosystem; real-time dashboards; information governance audited</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C7 Decision-making pathways</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pathway exists, and decisions rest with whoever is present</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Informal; case-by-case; not documented</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Key pathways documented; MDT decision-making; referral pathways clear</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All pathways formalised; shared decision-making embedded; regular review</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C8 Evaluation expectations</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one is responsible for evaluating the service</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formal evaluation; outcomes not tracked</w:t>
            </w:r>
          </w:p>
        </w:tc>
        <w:tc>
          <w:tcPr>
            <w:tcW w:type="dxa" w:w="293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KPIs defined; annual audit; basic outcome reporting</w:t>
            </w:r>
          </w:p>
        </w:tc>
        <w:tc>
          <w:tcPr>
            <w:tcW w:type="dxa" w:w="293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Continuous evaluation; external benchmarking; published outcomes</w:t>
            </w:r>
          </w:p>
        </w:tc>
      </w:tr>
      <w:tr>
        <w:trPr>
          <w:cantSplit/>
        </w:trPr>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C9 Required resources and enabling conditions</w:t>
            </w:r>
          </w:p>
        </w:tc>
        <w:tc>
          <w:tcPr>
            <w:tcW w:type="dxa" w:w="293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resources are allocated to the service</w:t>
            </w:r>
          </w:p>
        </w:tc>
        <w:tc>
          <w:tcPr>
            <w:tcW w:type="dxa" w:w="293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Under-resourced; significant gaps; ad hoc</w:t>
            </w:r>
          </w:p>
        </w:tc>
        <w:tc>
          <w:tcPr>
            <w:tcW w:type="dxa" w:w="293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Core resources in place; budget allocated; enabling conditions identified</w:t>
            </w:r>
          </w:p>
        </w:tc>
        <w:tc>
          <w:tcPr>
            <w:tcW w:type="dxa" w:w="293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Fully resourced; strategic investment; enabling conditions optimised</w:t>
            </w:r>
          </w:p>
        </w:tc>
      </w:tr>
    </w:tbl>
    <w:p>
      <w:pPr>
        <w:sectPr>
          <w:headerReference w:type="default" r:id="rId13"/>
          <w:footerReference w:type="default" r:id="rId14"/>
          <w:pgSz w:w="16838" w:h="11906" w:orient="landscape"/>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D: Document control and sign-off</w:t>
      </w: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D1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rPr>
          <w:cantSplit/>
          <w:tblHeader/>
        </w:trPr>
        <w:tc>
          <w:tcPr>
            <w:tcW w:type="dxa" w:w="270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Field</w:t>
            </w:r>
          </w:p>
        </w:tc>
        <w:tc>
          <w:tcPr>
            <w:tcW w:type="dxa" w:w="361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Entry</w:t>
            </w:r>
          </w:p>
        </w:tc>
        <w:tc>
          <w:tcPr>
            <w:tcW w:type="dxa" w:w="270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480" w:hRule="atLeast"/>
        </w:trPr>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Document owner</w:t>
            </w:r>
          </w:p>
        </w:tc>
        <w:tc>
          <w:tcPr>
            <w:tcW w:type="dxa" w:w="361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Date of issue</w:t>
            </w:r>
          </w:p>
        </w:tc>
        <w:tc>
          <w:tcPr>
            <w:tcW w:type="dxa" w:w="361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Version</w:t>
            </w:r>
          </w:p>
        </w:tc>
        <w:tc>
          <w:tcPr>
            <w:tcW w:type="dxa" w:w="361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Approved by</w:t>
            </w:r>
          </w:p>
        </w:tc>
        <w:tc>
          <w:tcPr>
            <w:tcW w:type="dxa" w:w="361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Next review date</w:t>
            </w:r>
          </w:p>
        </w:tc>
        <w:tc>
          <w:tcPr>
            <w:tcW w:type="dxa" w:w="361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270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Related documents</w:t>
            </w:r>
          </w:p>
        </w:tc>
        <w:tc>
          <w:tcPr>
            <w:tcW w:type="dxa" w:w="361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0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D2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3159"/>
        <w:gridCol w:w="1805"/>
      </w:tblGrid>
      <w:tr>
        <w:trPr>
          <w:cantSplit/>
          <w:tblHeader/>
        </w:trPr>
        <w:tc>
          <w:tcPr>
            <w:tcW w:type="dxa" w:w="406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Name and role</w:t>
            </w:r>
          </w:p>
        </w:tc>
        <w:tc>
          <w:tcPr>
            <w:tcW w:type="dxa" w:w="315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Signature</w:t>
            </w:r>
          </w:p>
        </w:tc>
        <w:tc>
          <w:tcPr>
            <w:tcW w:type="dxa" w:w="180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Date</w:t>
            </w:r>
          </w:p>
        </w:tc>
      </w:tr>
      <w:tr>
        <w:trPr>
          <w:cantSplit/>
          <w:trHeight w:val="600" w:hRule="atLeast"/>
        </w:trPr>
        <w:tc>
          <w:tcPr>
            <w:tcW w:type="dxa" w:w="4062"/>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Performance medicine lead</w:t>
            </w:r>
          </w:p>
        </w:tc>
        <w:tc>
          <w:tcPr>
            <w:tcW w:type="dxa" w:w="315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80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4062"/>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Organisational lead</w:t>
            </w:r>
          </w:p>
        </w:tc>
        <w:tc>
          <w:tcPr>
            <w:tcW w:type="dxa" w:w="315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80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406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Clinical governance lead</w:t>
            </w:r>
          </w:p>
        </w:tc>
        <w:tc>
          <w:tcPr>
            <w:tcW w:type="dxa" w:w="315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val="false"/>
        <w:keepLines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Licence: Creative Commons Attribution-NonCommercial-NoDerivatives 4.0 International (CC BY-NC-ND 4.0), https://creativecommons.org/licenses/by-nc-nd/4.0/. The document may be copied and shared unchanged, for non-commercial use, with attribution to STRIKERS Elite Sports Group | University of St Andrews; adapted versions may not be distributed.</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PM-OpSpec Form 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PM-OpSpec Form 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PM-OpSpec Form 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PM-OpSpec Form 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PM-OpSpec Form 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PM-OpSpec Form 2: Operational Specification (pilot version 0.2)</dc:title>
  <dc:creator>Symposion</dc:creator>
  <cp:lastModifiedBy>Symposion</cp:lastModifiedBy>
  <cp:revision>1</cp:revision>
  <dcterms:created xsi:type="dcterms:W3CDTF">2026-10-22T20:27:48.657Z</dcterms:created>
  <dcterms:modified xsi:type="dcterms:W3CDTF">2026-10-22T20:27:48.657Z</dcterms:modified>
</cp:coreProperties>
</file>

<file path=docProps/custom.xml><?xml version="1.0" encoding="utf-8"?>
<Properties xmlns="http://schemas.openxmlformats.org/officeDocument/2006/custom-properties" xmlns:vt="http://schemas.openxmlformats.org/officeDocument/2006/docPropsVTypes"/>
</file>