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0" w:before="0" w:line="360" w:lineRule="auto"/>
        <w:jc w:val="left"/>
      </w:pPr>
      <w:r>
        <w:rPr>
          <w:rFonts w:ascii="Times New Roman" w:cs="Times New Roman" w:eastAsia="Times New Roman" w:hAnsi="Times New Roman"/>
          <w:b w:val="false"/>
          <w:bCs w:val="false"/>
          <w:i/>
          <w:iCs/>
          <w:sz w:val="22"/>
          <w:szCs w:val="22"/>
        </w:rPr>
        <w:t xml:space="preserve">Pilot version 0.2: not yet validated</w:t>
      </w:r>
    </w:p>
    <w:p>
      <w:pPr>
        <w:keepNext w:val="false"/>
        <w:keepLines w:val="false"/>
        <w:spacing w:after="0" w:before="0" w:line="360" w:lineRule="auto"/>
        <w:jc w:val="left"/>
      </w:pPr>
      <w:r>
        <w:rPr>
          <w:rFonts w:ascii="Times New Roman" w:cs="Times New Roman" w:eastAsia="Times New Roman" w:hAnsi="Times New Roman"/>
          <w:b/>
          <w:bCs/>
          <w:i w:val="false"/>
          <w:iCs w:val="false"/>
          <w:sz w:val="28"/>
          <w:szCs w:val="28"/>
        </w:rPr>
        <w:t xml:space="preserve">PM-NEAT and PM-OpSpec</w:t>
      </w:r>
    </w:p>
    <w:p>
      <w:pPr>
        <w:keepNext w:val="false"/>
        <w:keepLines w:val="false"/>
        <w:spacing w:after="0" w:before="0" w:line="360" w:lineRule="auto"/>
        <w:jc w:val="left"/>
      </w:pPr>
      <w:r>
        <w:rPr>
          <w:rFonts w:ascii="Times New Roman" w:cs="Times New Roman" w:eastAsia="Times New Roman" w:hAnsi="Times New Roman"/>
          <w:b/>
          <w:bCs/>
          <w:i w:val="false"/>
          <w:iCs w:val="false"/>
          <w:sz w:val="22"/>
          <w:szCs w:val="22"/>
        </w:rPr>
        <w:t xml:space="preserve">User guide for pilot version 0.2</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STRIKERS Elite Sports Group | University of St Andrews</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1 Purpose of the tools</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The Performance Medicine Needs Evaluation and Assessment Tool (PM-NEAT) and the Performance Medicine Operational Specification (PM-OpSpec) are built on the 34 domains of the Performance Medicine Integrative Framework (PMIF). The framework groups the work of a performance medicine service into four quadrants, Medical, Psychological, Allied Health and Scientific, and Technical, and three Overarching Aspects that apply across all four: Clinical Practice, Education and Development, and Research and Knowledge Translation. PM-NEAT establishes what a setting requires in each domain, how well current provision meets it and where the gap lies. PM-OpSpec then specifies how the service that meets those needs is organised, governed and resourced, so that the two tools carry a service from assessment to specification.</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The tools are written for four settings: sport, military and tactical, healthcare, and corporate and occupational. Performers means the athletes, service personnel, clinicians or employees whose work places sustained physical, cognitive or psychological demands on them. Where a domain concerns the coaches, commanders or managers around them, it names them.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Version 0.2 is a pilot version and has not yet been validated, since its content validity and inter-rater reliability are to be assessed in the pilot study that the accompanying protocol describes. Its ratings should therefore be read as a structured description of a service rather than a validated measure of its quality.</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2 Which form to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cantSplit/>
          <w:tblHeader/>
        </w:trPr>
        <w:tc>
          <w:tcPr>
            <w:tcW w:type="dxa" w:w="234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Form</w:t>
            </w:r>
          </w:p>
        </w:tc>
        <w:tc>
          <w:tcPr>
            <w:tcW w:type="dxa" w:w="144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Rates</w:t>
            </w:r>
          </w:p>
        </w:tc>
        <w:tc>
          <w:tcPr>
            <w:tcW w:type="dxa" w:w="523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Use</w:t>
            </w:r>
          </w:p>
        </w:tc>
      </w:tr>
      <w:tr>
        <w:trPr>
          <w:cantSplit/>
        </w:trPr>
        <w:tc>
          <w:tcPr>
            <w:tcW w:type="dxa" w:w="234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PM-NEAT Form 1.1, Needs Evaluation</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Need</w:t>
            </w:r>
          </w:p>
        </w:tc>
        <w:tc>
          <w:tcPr>
            <w:tcW w:type="dxa" w:w="523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prospective: what does this setting require? Use before service design or commissioning.</w:t>
            </w:r>
          </w:p>
        </w:tc>
      </w:tr>
      <w:tr>
        <w:trPr>
          <w:cantSplit/>
        </w:trPr>
        <w:tc>
          <w:tcPr>
            <w:tcW w:type="dxa" w:w="234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PM-NEAT Form 1.2, Service Assessment</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Provision</w:t>
            </w:r>
          </w:p>
        </w:tc>
        <w:tc>
          <w:tcPr>
            <w:tcW w:type="dxa" w:w="523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evaluative: how well does current provision meet need? Use to audit an existing service.</w:t>
            </w:r>
          </w:p>
        </w:tc>
      </w:tr>
      <w:tr>
        <w:trPr>
          <w:cantSplit/>
        </w:trPr>
        <w:tc>
          <w:tcPr>
            <w:tcW w:type="dxa" w:w="234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PM-NEAT Form 1.3, Gap Analysis</w:t>
            </w:r>
          </w:p>
        </w:tc>
        <w:tc>
          <w:tcPr>
            <w:tcW w:type="dxa" w:w="144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Need and provision</w:t>
            </w:r>
          </w:p>
        </w:tc>
        <w:tc>
          <w:tcPr>
            <w:tcW w:type="dxa" w:w="523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combined: both functions completed together, with the gap computed as need minus provision. Use when reviewing and redesigning a service.</w:t>
            </w:r>
          </w:p>
        </w:tc>
      </w:tr>
      <w:tr>
        <w:trPr>
          <w:cantSplit/>
        </w:trPr>
        <w:tc>
          <w:tcPr>
            <w:tcW w:type="dxa" w:w="234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PM-OpSpec Form 2, Operational Specification</w:t>
            </w:r>
          </w:p>
        </w:tc>
        <w:tc>
          <w:tcPr>
            <w:tcW w:type="dxa" w:w="144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Maturity of nine sub-components</w:t>
            </w:r>
          </w:p>
        </w:tc>
        <w:tc>
          <w:tcPr>
            <w:tcW w:type="dxa" w:w="523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Specification and governance reference for the service, completed by its senior lead and reviewed at least annually; Section B and sub-component C3 can be carried over from a completed PM-NEAT.</w:t>
            </w:r>
          </w:p>
        </w:tc>
      </w:tr>
    </w:tbl>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3 Before you start</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A PM-NEAT assessment should be led by someone who knows the setting and its performers well. It should draw on the people who deliver and use the service: clinical and science staff, the coaches, commanders or managers responsible for the performers and, where appropriate, performers themselves. The orientation section records who assessed the service, for whom and why, so that a later assessment can be compared with it.</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The prompts beneath each domain describe the evidence on which a rating should rest, such as written plans, pathways, staffing, records and audits. An assessor should look for that evidence rather than rate from impression. Where evidence is missing, the notes for the domain should say so, because a reader of the report will use them to judge how far the rating can be relied on.</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4 Rating need and provision</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Need and provision are each rated from 0 to 3 against the level descriptors below, which apply in every setting. A domain is rated not applicable only where it does not apply to the setting at all, so a domain that applies but needs nothing at present is rated 0 for need. A domain rated not applicable for need is not applicable for provision, and the reverse, and it has no gap and is excluded from every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986"/>
        <w:gridCol w:w="6137"/>
      </w:tblGrid>
      <w:tr>
        <w:trPr>
          <w:cantSplit/>
          <w:tblHeader/>
        </w:trPr>
        <w:tc>
          <w:tcPr>
            <w:tcW w:type="dxa" w:w="90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Rating</w:t>
            </w:r>
          </w:p>
        </w:tc>
        <w:tc>
          <w:tcPr>
            <w:tcW w:type="dxa" w:w="198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Label</w:t>
            </w:r>
          </w:p>
        </w:tc>
        <w:tc>
          <w:tcPr>
            <w:tcW w:type="dxa" w:w="613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Descriptor</w:t>
            </w:r>
          </w:p>
        </w:tc>
      </w:tr>
      <w:tr>
        <w:trPr>
          <w:cantSplit/>
        </w:trP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Need</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N/A</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applicable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does not apply to this setting; it is excluded from every total.</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0</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current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applies to this setting, but no provision is required at present.</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Low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An occasional or minor requirement that general staff can meet.</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Moderate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 regular requirement that calls for planned provision.</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High need</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 frequent, critical or high-risk requirement that calls for dedicated specialist provision.</w:t>
            </w:r>
          </w:p>
        </w:tc>
      </w:tr>
      <w:tr>
        <w:trPr>
          <w:cantSplit/>
        </w:trPr>
        <w:tc>
          <w:tcPr>
            <w:tcW w:type="dxa" w:w="9026"/>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Provision</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N/A</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Not applicable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The domain does not apply to this setting; it is excluded from every total.</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0</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None</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No provision.</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Limited or ad hoc</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Occasional or informal provision, met by general staff or dependent on particular individuals.</w:t>
            </w:r>
          </w:p>
        </w:tc>
      </w:tr>
      <w:tr>
        <w:trPr>
          <w:cantSplit/>
        </w:trPr>
        <w:tc>
          <w:tcPr>
            <w:tcW w:type="dxa" w:w="90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98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Planned or developing</w:t>
            </w:r>
          </w:p>
        </w:tc>
        <w:tc>
          <w:tcPr>
            <w:tcW w:type="dxa" w:w="613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Planned, regular provision without dedicated specialist input, or specialist provision that is not yet delivered consistently.</w:t>
            </w:r>
          </w:p>
        </w:tc>
      </w:tr>
      <w:tr>
        <w:trPr>
          <w:cantSplit/>
        </w:trPr>
        <w:tc>
          <w:tcPr>
            <w:tcW w:type="dxa" w:w="90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98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Established</w:t>
            </w:r>
          </w:p>
        </w:tc>
        <w:tc>
          <w:tcPr>
            <w:tcW w:type="dxa" w:w="613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Dedicated specialist provision that is planned, consistent and documented, with named responsibility.</w:t>
            </w:r>
          </w:p>
        </w:tc>
      </w:tr>
    </w:tbl>
    <w:p>
      <w:pPr>
        <w:keepNext w:val="false"/>
        <w:keepLines w:val="false"/>
        <w:spacing w:after="0" w:before="120" w:line="360" w:lineRule="auto"/>
        <w:jc w:val="both"/>
      </w:pPr>
      <w:r>
        <w:rPr>
          <w:rFonts w:ascii="Times New Roman" w:cs="Times New Roman" w:eastAsia="Times New Roman" w:hAnsi="Times New Roman"/>
          <w:b w:val="false"/>
          <w:bCs w:val="false"/>
          <w:i w:val="false"/>
          <w:iCs w:val="false"/>
          <w:sz w:val="22"/>
          <w:szCs w:val="22"/>
        </w:rPr>
        <w:t xml:space="preserve">Each domain's description states what it covers and, where a neighbouring domain could claim the same topic, where that topic is scored instead, so that each element of provision is rated in one domain only. Emergency care, for example, is rated under 1.3 rather than 1.1, while the organisation's safeguarding framework is rated under 5.4 and the response to an individual concern under 2.6.</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5 How the summary is calculated</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In Form 1.3 the gap of each domain is need minus provision, and each gap falls into one of three bands: red for a gap of 2 or more (priority action), amber for a gap of 1 (development) and green for a gap of 0 or less (met or exceeded). A domain counts as rated once every rating the form uses has been entered, and a domain rated not applicable is excluded from every count and total. For each of the seven sections the summary reports the number of domains rated, the total need, the unmet need, which is the sum of the positive gaps, and the surplus, which is the sum of provision beyond need. Surplus is reported as a positive number and never offsets a shortfall elsewhere, since a service that exceeds its need in one domain is not thereby meeting its need in another. Each section takes the priority rating of its worst domain: red if any domain is red, amber if any is amber and none red, and otherwise green, while a section with no rated domain has no rating.</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As an illustration, a section of four domains rated need 3, 2, 1 and not applicable, with provision 1, 2, 3 and not applicable, has three domains rated and a total need of 6. Its gaps are 2, 0 and minus 2, giving an unmet need of 2, a surplus of 2 and a red priority rating. Form 1.1 reports total need and Form 1.2 total provision for each section, since a gap needs both ratings. The workbook and the web version calculate every total, whereas the Word forms leave them to the assessor, who applies the same rules.</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6 Completing PM-OpSpec</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PM-OpSpec has four sections: Section A records the setting and context, Section B the provision in each of the 34 domains and whether it is in scope, Section C the nine operational sub-components, from purpose and scope to the resources the service requires, and Section D document control and sign-off. Each sub-component is placed at one of four maturity levels, Not in place, Foundation, Established and Advanced, using the descriptors in the reference table, and the levels describe the service without being scored or totalled. Statutory, regulatory and professional requirements, including data protection, professional registration and safeguarding, apply at every level; the levels describe maturity beyond compliance with them.</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Where a PM-NEAT Gap Analysis has been completed, its ratings are carried into Section B, a domain rated not applicable being out of scope. They are also carried into sub-component C3, which lists the domains with full provision (green, with some provision), with partial or developing provision (amber or red, with some provision), with no provision although there is a need, and not in scope; a domain that needs nothing and has nothing appears in none of the lists. The lead can then edit every entry, because the specification records decisions that the ratings inform but do not make.</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7 The web version, files and privacy</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The web version (https://andrewhallorthosports.github.io/performance-medicine/tools/) presents the same forms, shows each domain's example for the setting chosen and calculates the gap, band and every total as ratings are entered. Nothing entered is sent anywhere or kept by the browser between sessions, so work is kept by saving a file, which can be opened again later on any computer. A report can be printed either as a summary with the domain table, priority actions and sign-off, or as the full form exactly as completed. The page loads no analytics and no external typefaces, so it makes no request to any other site once it has opened.</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A saved file names the organisation and the assessors and may describe the health services of identifiable people. It should therefore be stored and sent with the care given to any confidential service record and, within a study, only by the route that the study's protocol sets out.</w:t>
      </w:r>
    </w:p>
    <w:p>
      <w:pPr>
        <w:keepNext w:val="false"/>
        <w:keepLines w:val="false"/>
        <w:spacing w:after="0" w:before="0" w:line="360" w:lineRule="auto"/>
        <w:jc w:val="both"/>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8 Status, licence and attribution</w:t>
      </w:r>
    </w:p>
    <w:p>
      <w:pPr>
        <w:keepNext w:val="false"/>
        <w:keepLines w:val="false"/>
        <w:spacing w:after="0" w:before="0" w:line="360" w:lineRule="auto"/>
        <w:jc w:val="left"/>
      </w:pPr>
      <w:r>
        <w:rPr>
          <w:rFonts w:ascii="Times New Roman" w:cs="Times New Roman" w:eastAsia="Times New Roman" w:hAnsi="Times New Roman"/>
          <w:b w:val="false"/>
          <w:bCs w:val="false"/>
          <w:i w:val="false"/>
          <w:iCs w:val="false"/>
          <w:sz w:val="22"/>
          <w:szCs w:val="22"/>
        </w:rPr>
        <w:t xml:space="preserve">Pilot version 0.2: not yet validated. The forms, workbook, web page and this guide are made available under the Creative Commons Attribution-NonCommercial-NoDerivatives 4.0 International licence (CC BY-NC-ND 4.0, https://creativecommons.org/licenses/by-nc-nd/4.0/). They may be copied and shared unchanged, for non-commercial use, with attribution to STRIKERS Elite Sports Group | University of St Andrews, but adapted versions may not be distributed.</w:t>
      </w:r>
    </w:p>
    <w:p>
      <w:pPr>
        <w:sectPr>
          <w:headerReference w:type="default" r:id="rId7"/>
          <w:footerReference w:type="default" r:id="rId8"/>
          <w:pgSz w:w="11906" w:h="16838" w:orient="portrait"/>
          <w:pgMar w:top="1440" w:right="1440" w:bottom="1440" w:left="1440" w:header="708" w:footer="708" w:gutter="0"/>
          <w:pgNumType/>
          <w:docGrid w:linePitch="360"/>
        </w:sectPr>
      </w:pPr>
    </w:p>
    <w:p>
      <w:pPr>
        <w:keepNext/>
        <w:keepLines w:val="false"/>
        <w:spacing w:after="0" w:before="0" w:line="360" w:lineRule="auto"/>
        <w:jc w:val="left"/>
      </w:pPr>
      <w:r>
        <w:rPr>
          <w:rFonts w:ascii="Times New Roman" w:cs="Times New Roman" w:eastAsia="Times New Roman" w:hAnsi="Times New Roman"/>
          <w:b/>
          <w:bCs/>
          <w:i w:val="false"/>
          <w:iCs w:val="false"/>
          <w:sz w:val="22"/>
          <w:szCs w:val="22"/>
        </w:rPr>
        <w:t xml:space="preserve">Appendix: guidance for each domain</w:t>
      </w:r>
    </w:p>
    <w:p>
      <w:pPr>
        <w:keepNext w:val="false"/>
        <w:keepLines w:val="false"/>
        <w:spacing w:after="0" w:before="0" w:line="360" w:lineRule="auto"/>
        <w:jc w:val="both"/>
      </w:pPr>
      <w:r>
        <w:rPr>
          <w:rFonts w:ascii="Times New Roman" w:cs="Times New Roman" w:eastAsia="Times New Roman" w:hAnsi="Times New Roman"/>
          <w:b w:val="false"/>
          <w:bCs w:val="false"/>
          <w:i w:val="false"/>
          <w:iCs w:val="false"/>
          <w:sz w:val="22"/>
          <w:szCs w:val="22"/>
        </w:rPr>
        <w:t xml:space="preserve">For each domain the table gives its description, the prompts on the evidence to look for and an example of the domain in each of the four settings. The examples illustrate the domain; they do not define it, and describe no named organisation.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98"/>
        <w:gridCol w:w="3769"/>
        <w:gridCol w:w="4187"/>
        <w:gridCol w:w="5304"/>
      </w:tblGrid>
      <w:tr>
        <w:trPr>
          <w:cantSplit/>
          <w:tblHeader/>
        </w:trPr>
        <w:tc>
          <w:tcPr>
            <w:tcW w:type="dxa" w:w="698"/>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Code</w:t>
            </w:r>
          </w:p>
        </w:tc>
        <w:tc>
          <w:tcPr>
            <w:tcW w:type="dxa" w:w="376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Domain and description</w:t>
            </w:r>
          </w:p>
        </w:tc>
        <w:tc>
          <w:tcPr>
            <w:tcW w:type="dxa" w:w="418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 to look for</w:t>
            </w:r>
          </w:p>
        </w:tc>
        <w:tc>
          <w:tcPr>
            <w:tcW w:type="dxa" w:w="530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Examples by setting</w:t>
            </w:r>
          </w:p>
        </w:tc>
      </w:tr>
      <w:tr>
        <w:trPr>
          <w:cantSplit/>
        </w:trPr>
        <w:tc>
          <w:tcPr>
            <w:tcW w:type="dxa" w:w="13958"/>
            <w:gridSpan w:val="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Section 1: Medical</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and Exercise Medicine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Medical care of performers: diagnosis and medical management of injury and illness, medical screening, prescribing and oversight of health across training, competition, operations or work; emergency care is scored under 1.3 and rehabilitation under 3.1.</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medical care to performers, with what qualifications, and how much of their time is committed to this population?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documented medical screening process, and are its results acted on and reviewed?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holds medical oversight across training, competition, operations or work, and how are injury and illness recorded?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team doctor runs pre-season medical screening and manages injury and illness through the season.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A unit medical officer screens recruits, manages training injuries and certifies medical fitness for deployment.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An occupational physician manages injury and illness in theatre and emergency department staff.</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An occupational physician assesses fitness for work and manages injury and illness in staff with physically demanding roles.</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Lifestyle and Preventive Medicine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Health promotion and the prevention of chronic disease: assessment of and intervention on physical activity, diet, sleep, stress, substance use and social connection, and screening for long-term risk; specialist nutrition and sleep provision for performance are scored under 3.2 and 3.6.</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lifestyle risk (physical activity, diet, sleep, stress, substance use and social connection) assessed in a structured way, and how often?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What intervention or referral follows when a risk is identified?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performers' long-term health, beyond the current season, posting or role, considered in planning?</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Athletes approaching retirement are screened for cardiovascular and metabolic risk and advised on activity after competition.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Service personnel are offered smoking cessation, alcohol advice and cardiovascular risk checks.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Shift-working nurses are offered health checks and support with diet, activity and alcohol.</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Employees are offered health checks with follow-up of blood pressure, activity and weight.</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Emergency and Acute Care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Emergency action planning and the immediate care of acute injury and illness wherever performers train, compete, deploy or work, with the staff training, equipment and drills that it requires.</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written emergency action plan for each venue or site, and when was it last rehearsed?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staff trained to the level of emergency care the setting requires, with training in date and equipment checked?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quickly can a performer with a serious acute injury or illness reach definitive care?</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The pitch-side team rehearses its plan for cardiac arrest and spinal injury before each season.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Combat medical technicians hold current trauma training and carry checked equipment on exercise.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A hospital has a plan for staff who collapse or are injured at work, including those working alone or at night.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Sites with heavy machinery or lone workers have trained first aiders, defibrillators and a rehearsed response plan.</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Specialist Liaison and Referral</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Access to care beyond the service: referral pathways to external specialists and to secondary and tertiary services, and the coordination of performers' care across them.</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there agreed referral routes to the specialists that performers most often need, and how long do referrals take?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coordinates care when a performer is under more than one external service?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Does information from external services return to the performer's record?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club has agreed routes to orthopaedic, cardiology and imaging services, with expected waiting times.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Personnel are referred from primary care to rehabilitation and secondary care through a coordinated pathway.</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with a work-related injury have an expedited route to musculoskeletal and mental health specialists.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An employee health provider arranges specialist assessment and returns the advice to the occupational health team.</w:t>
            </w:r>
          </w:p>
        </w:tc>
      </w:tr>
      <w:tr>
        <w:trPr>
          <w:cantSplit/>
        </w:trPr>
        <w:tc>
          <w:tcPr>
            <w:tcW w:type="dxa" w:w="13958"/>
            <w:gridSpan w:val="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Section 2: Psychological</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2.1</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Performance Psychology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Performance psychology: mental skills, psychological readiness and preparation for performance under pressure, for individuals and teams.</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performance psychology support, with what qualifications, and how do performers access 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psychological preparation for high-pressure events planned and reviewed, for individuals and for teams?</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practitioner psychologist works with a national squad on pre-competition routines and training under pressure.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Personnel receive mental skills training before selection courses or deployment.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Surgical and resuscitation teams rehearse performance under pressure in simulation with structured debriefing.</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Senior staff are coached in preparation for high-stakes negotiations or presentations.</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2.2</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Clinical Psychology and Mental Health</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Mental health care: screening, assessment, treatment and onward referral for mental health conditions in performers; the response to acute crises is scored under 2.6.</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routine screening for mental health conditions, and what happens after a positive screen?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provides assessment and treatment, and how long do performers wait for 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referral routes to specialist mental health services agreed and used?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Athletes complete an annual mental health screen, with access to a clinical psychologist and a psychiatrist where needed.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Personnel have access to mental health assessment and treatment, including after operational deployment.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Clinicians have a confidential route to psychological assessment and treatment that is separate from their line management.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An employee assistance programme offers assessment and short-term therapy, with onward referral for complex needs.</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2.3</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Psychological Load Management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Psychological load: monitoring and management of stress, fatigue and burnout, and of psychological recovery; physical load is scored under 3.6.</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stress, fatigue and burnout monitored, and by whom?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What action follows when monitoring shows rising psychological load?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Wellbeing questionnaires are reviewed weekly, and selection or travel is adjusted when stress scores rise.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Commanders review stress and fatigue indicators during prolonged operations and plan decompression.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Departments monitor indicators of burnout and adjust rotas when they rise during periods of high demand.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Workload and stress surveys inform the planning of peak periods and leave.</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2.4</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Psychosocial Environment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psychosocial environment: team culture, psychological safety, relationships, leadership climate and the social conditions in which performers live and work.</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team culture and psychological safety assessed, and how are the results acted 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relationships between performers, the coaches, commanders or managers around them, and support staff reviewed?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squad's culture survey informs leadership development for coaches and captains.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Unit climate assessments are used to strengthen cohesion and address poor behaviour.</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Departments assess psychological safety and how readily staff speak up within clinical teams.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Team climate and inclusion surveys inform the development of managers.</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2.5</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Cognitive Performance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Cognitive performance: attention, perception, decision-making under pressure, cognitive load and brain health.</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attention, decision-making and cognitive load assessed or trained, and how?</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brain health monitored over time, with cognitive baselines where head impact is a risk?</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Players in contact sport complete baseline cognitive testing, and decision-making is trained within sessions.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Personnel train decision-making under fatigue and are monitored after blast exposure.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Cognitive load on long shifts is reduced through checklists and structured handover.</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Roles that demand sustained attention, such as control-room work, are designed to limit cognitive overload.</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2.6</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Welfare, Crisis and Safeguarding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Welfare support for performers and the immediate response to psychological crises, critical incidents and safeguarding concerns as they arise, with onward referral; the organisation's safeguarding framework is scored under 5.4.</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known route by which a performer in crisis, or a concern about one, reaches help at any hour?</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critical incidents followed by a structured response and onward referral?</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individual welfare and safeguarding concerns recorded and followed through?</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welfare officer is on call during competition and refers athletes in crisis to mental health services.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A structured peer support process follows critical incidents, with referral for those who need it.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involved in a patient's death or a serious incident are offered structured support and referral.</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Managers have a route to urgent support for an employee in crisis, at work or while travelling.</w:t>
            </w:r>
          </w:p>
        </w:tc>
      </w:tr>
      <w:tr>
        <w:trPr>
          <w:cantSplit/>
        </w:trPr>
        <w:tc>
          <w:tcPr>
            <w:tcW w:type="dxa" w:w="13958"/>
            <w:gridSpan w:val="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Section 3: Allied Health and Scientific</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Physiotherapy and Rehabilitation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Musculoskeletal assessment, treatment and progressive rehabilitation to agreed criteria; the decision to return to full performance is scored under 5.2.</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musculoskeletal assessment and treatment, and how quickly can performers be seen?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rehabilitation plans written, progressed against agreed criteria and reviewed?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Physiotherapists run criteria-based rehabilitation after anterior cruciate ligament reconstruction.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Personnel with training injuries follow graded rehabilitation at a regional rehabilitation unit.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with back injury from manual handling have rapid access to physiotherapy.</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Employees in manual roles can refer themselves to physiotherapy, with a graded rehabilitation plan.</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Nutrition and Dietetics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Nutritional assessment, fuelling and hydration strategies, body composition, supplement use and the dietetic management of clinical conditions.</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provides nutrition support, with what qualifications, and is it individual or group-based?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fuelling, hydration and supplement use assessed and governed, including the risk of low energy availability?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clinical conditions that need dietetic management identified and referred?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registered sports dietitian plans fuelling around training and screens for low energy availability.</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Field rations and hydration plans are designed for heat and prolonged exertion.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on long and night shifts receive advice on fuelling and hydration, with dietetic referral where needed.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Employees in shift or travel-heavy roles receive nutrition guidance suited to their working pattern.</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Strength, Conditioning and Exercise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Physical preparation: the design, prescription and delivery of strength, conditioning and exercise programmes, including the planning of training load; monitoring of the load received is scored under 3.6.</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Who designs and delivers physical preparation, with what qualifications?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programmes individualised, and is training load planned across the year or cycle?</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An accredited strength and conditioning coach plans training across the competitive season.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Physical training instructors deliver progressive conditioning before selection courses.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Ambulance and theatre staff are offered conditioning for patient handling and prolonged standing.</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Employees in physically demanding roles follow conditioning programmes designed for the tasks they perform.</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and Exercise Physiology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Physiological assessment and support: aerobic and anaerobic capacity, metabolic and environmental physiology (heat, cold and altitude), and the interpretation of results for training and health; the testing programme as a whole is scored under 4.2.</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physiological assessment available, and are results interpreted and used in training and health decisions?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environmental demands such as heat, cold or altitude assessed and prepared for?</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Endurance athletes undergo laboratory testing and heat acclimation before major championships.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Personnel are acclimatised and monitored before deployment to hot or high-altitude environments.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Heat strain in staff wearing protective equipment is assessed and managed.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The physiological demands of outdoor or heat-exposed work are assessed to set cycles of work and rest.</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Biomechanics and Movement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Movement and technique analysis, the physical demands of the task and the biomechanics of injury and its prevention.</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movement or technique analysed, by whom and with what methods?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the physical demands of the task understood and used in preventing injury?</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Analysis of a fast bowler's action informs a change of technique to reduce lumbar stress injury.</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Load carriage and marching technique are analysed to reduce lower limb stress injury.</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Operating and patient-handling postures are analysed to reduce musculoskeletal strain in surgeons and nurses.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Lifting tasks and workstations are assessed to reduce musculoskeletal injury.</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Sleep, Recovery and Load Monitoring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Sleep, recovery practice and the monitoring of the training, operational or occupational load that performers receive and of their response to it; the prescription of load is scored under 3.3 and psychological load under 2.3.</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 load that performers receive measured, and is their response to it monitored?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sleep and recovery assessed, and what support follows a problem?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reviews the monitoring data, and how does it change practice?</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Training load and wellness data are reviewed daily, and sleep is supported across long-haul travel.</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Sleep and physical load are monitored during sustained operations, and rest is scheduled.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Hours worked and sleep across night shifts are monitored, and rotas allow recovery between them.</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The hours and travel load of shift and travelling workers are monitored, and working hours are adjusted when sleep suffers.</w:t>
            </w:r>
          </w:p>
        </w:tc>
      </w:tr>
      <w:tr>
        <w:trPr>
          <w:cantSplit/>
        </w:trPr>
        <w:tc>
          <w:tcPr>
            <w:tcW w:type="dxa" w:w="13958"/>
            <w:gridSpan w:val="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Section 4: Technical</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4.1</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Data Systems and Performance Analytics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Data infrastructure and analytics: the platforms, integration, analysis and reporting that turn health and performance data into information for decisions; information governance is scored under 5.3.</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Where are health and performance data held, and can they be brought together?</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Who analyses the data, and how are the results reported to those who make decisions?</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An athlete management system brings medical, training and wellness data together in reports for coaches.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Injury and training data from training establishments are combined to inform the design of training.</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absence, injury and occupational health data are combined to report on the health of the workforce.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Anonymised occupational health and absence data are reported to the board.</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4.2</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Performance Testing and Assessment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testing programme across disciplines: selection and scheduling of standardised tests, their reliability and quality control, and benchmarking; the interpretation of results within each discipline is scored in that discipline's domain.</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there a schedule of standardised tests across disciplines, and is it followed?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the reliability and quality control of the tests known, and are results benchmarked?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national programme runs a standard test battery three times a season, with its measurement error known.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Physical employment standards are tested on a fixed schedule with standardised protocols.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Fitness-for-role assessments for staff in physically demanding roles follow a standard protocol.</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Fitness-for-task tests for safety-critical roles are standardised and repeated at fixed intervals.</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4.3</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Technology and Digital Integration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Wearable, positional, biometric and digital health technologies: their selection, evaluation, deployment and integration into practice; the platforms that store and report their data are scored under 4.1.</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Which wearable, positional or digital health technologies are used, and were they evaluated before adoption?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they integrated into practice, and who is responsible for them?</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Positional tracking units are evaluated for validity before they replace an older system.</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Wearable physiological monitors are trialled for detecting heat strain during training.</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Digital tools for staff wellbeing and fatigue are evaluated before they are rolled out.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Wearable devices offered to employees are assessed for accuracy and uptake.</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4.4</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Research and Performance Science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In-house research and performance science capability: the people, skills and time to generate local evidence through applied studies, innovation projects and the evaluation of new methods; external research partnerships are scored under 7.2.</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have staff with the skills and protected time to run applied studies?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new methods evaluated locally before they are adopted?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An embedded performance scientist evaluates a new recovery method across a season.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A training establishment runs an applied study of an injury prevention programme.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An occupational health team evaluates a new fatigue intervention within its own hospital.</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An in-house team evaluates the effect of a workplace health programme on absence.</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4.5</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Environment, Facility and Equipment Management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Facilities and equipment: training, operational and clinical spaces, and the provision, maintenance and safety of equipment; emergency equipment is scored under 1.3.</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training, operational and clinical spaces fit for purpose and safe?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equipment maintained, logged and replaced on schedule?</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club's medical room and gym equipment are inspected and maintained against a log.</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Field medical and training equipment is checked before deployment.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rest, changing and exercise facilities are provided and maintained.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Workplace fitness, changing and rest facilities are inspected and maintained.</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4.6</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Operational Logistics and Coordination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Operational logistics: travel, scheduling, deployments and multi-site operations, and the movement of staff, equipment and medicines between sites.</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are travel, scheduling and multi-site work planned, and who coordinates them?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staff, equipment and medicines moved between sites, and is this governed?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Staff, medical kit and medicines are planned for an overseas tournament, including the import rules for medicines.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Medical support, equipment and supplies are coordinated across dispersed deployed locations.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Occupational health support is coordinated across several hospital sites.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Health support for employees who travel or are posted overseas is planned and coordinated.</w:t>
            </w:r>
          </w:p>
        </w:tc>
      </w:tr>
      <w:tr>
        <w:trPr>
          <w:cantSplit/>
        </w:trPr>
        <w:tc>
          <w:tcPr>
            <w:tcW w:type="dxa" w:w="13958"/>
            <w:gridSpan w:val="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Section 5: Clinical Practice (Overarching Aspect)</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5.1</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Governance and Clinical Accountability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governance: lines of clinical accountability, professional registration and scope of practice, policies, risk and incident management, and regulatory compliance; the governance and management of the wider organisation sit in the framework's outer boundary.</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a named clinical lead accountable for the service, and are staff registered and working within their scope of practice?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policies current, and are risks and incidents recorded and reviewed?</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club's head of medicine holds clinical accountability, and staff registration is checked every year.</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Clinical governance of unit medical care is overseen through the medical chain of command.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The occupational health service is accountable through the hospital's clinical governance structures.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A contracted occupational health provider reports incidents and audits to a named clinical lead.</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5.2</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Clinical Decision-Making and Pathways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decision-making: shared decision-making with performers, inter-professional case review, care pathways across disciplines and decisions on return to full performance.</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performers involved in decisions about their care, and is this recorded?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complex cases reviewed across disciplines, and are care pathways written?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How are decisions on return to full performance made, and by whom?</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Return-to-play decisions are made at an interdisciplinary meeting with the athlete and recorded.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Decisions on medical employment are made by a board that takes account of the individual's view.</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Decisions on return to work after illness are agreed between occupational health, the manager and the member of staff.</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Complex cases are reviewed by occupational health, human resources and the employee before a phased return.</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5.3</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Documentation, Records and Information Governance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Records and information governance: clinical record systems, confidentiality, data protection compliance and the protocols for sharing information across disciplines and organisations.</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clinical records complete, secure and kept to professional standards?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written protocol, with consent, for sharing information between disciplines and with coaches, commanders or managers?</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An electronic medical record limits coaching staff to agreed information on availability.</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Confidential medical information is kept separate from what is shared with the chain of command.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Occupational health records are kept separate from staff members' personnel files and from any record of their care as patients.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Occupational health reports to managers state fitness and adjustments without clinical detail.</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5.4</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Safeguarding and Duty of Care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safeguarding framework: child and adult protection policies, designated safeguarding leads, consent procedures, reporting and escalation routes, and the duty of care owed to performers and staff; the response to individual concerns is scored under 2.6.</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child and adult safeguarding policies current, and is there a named designated lead?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consent procedures, and the routes for reporting and escalation, written and known to staff?</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An academy has a designated safeguarding lead, and staff who work with players under 18 are checked.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Training establishments hold safeguarding policies for recruits under 18 and for vulnerable adults.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safeguarding policies cover concerns about colleagues as well as about patients.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The organisation's duty of care policy covers employees who work alone or travel to high-risk areas.</w:t>
            </w:r>
          </w:p>
        </w:tc>
      </w:tr>
      <w:tr>
        <w:trPr>
          <w:cantSplit/>
        </w:trPr>
        <w:tc>
          <w:tcPr>
            <w:tcW w:type="dxa" w:w="13958"/>
            <w:gridSpan w:val="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Section 6: Education and Development (Overarching Aspect)</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6.1</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Staff CPD and Professional Development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Continuing professional development of current staff: training plans, protected learning time and competency frameworks within each discipline and for working across disciplines.</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each member of staff have a development plan and protected learning time?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competency framework within each discipline and for working across disciplines?</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Medical and science staff have funded annual training, including interdisciplinary case-based learning.</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Medical personnel follow a competency framework, with protected training time between deployments.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Occupational health staff hold development plans linked to a professional competency framework.</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In-house health staff have funded development time and an annual appraisal.</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6.2</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Mentorship, Supervision and Workforce Development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and professional supervision and mentoring of current staff, and the development of individuals within their roles through them; the recruitment and training of future practitioners is scored under 6.4.</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 staff receive regular clinical or professional supervision, and is it recorded?</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mentoring available, particularly for staff new to the setting?</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junior physiotherapist has monthly supervision with a senior colleague.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Newly qualified medical officers are mentored by experienced clinicians.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Occupational health nurses receive regular clinical supervision.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A lone in-house practitioner has external supervision arranged by the employer.</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6.3</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Education for Performers and Teams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Education of performers and of the coaches, commanders and managers around them: health literacy, performance education and support for informed self-management.</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Are performers, and the coaches, commanders or managers around them, educated about health and performance?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Does the education support performers to manage their own health?</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Athletes and coaches are taught about concussion, anti-doping and menstrual health.</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Recruits and instructors are taught about injury prevention, sleep and heat illness.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are taught about fatigue, shift work and looking after their own health.</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Managers are trained to recognise ill health and to support employees.</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6.4</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Workforce Pipeline and Training Capacity</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pipeline of future practitioners: placements, internships and training posts, the capacity to host and teach them, and succession planning for key roles.</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host placements, internships or training posts, and does it have the capacity to teach them?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there a succession plan for key roles?</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club hosts sports science interns and a training post in sport and exercise medicine.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Training posts are planned so that specialist medical roles can be filled.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The occupational health service hosts trainees in occupational medicine and nursing.</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An employer's health service plans the succession of its lead clinician.</w:t>
            </w:r>
          </w:p>
        </w:tc>
      </w:tr>
      <w:tr>
        <w:trPr>
          <w:cantSplit/>
        </w:trPr>
        <w:tc>
          <w:tcPr>
            <w:tcW w:type="dxa" w:w="13958"/>
            <w:gridSpan w:val="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20" w:line="240" w:lineRule="auto"/>
              <w:jc w:val="left"/>
            </w:pPr>
            <w:r>
              <w:rPr>
                <w:rFonts w:ascii="Times New Roman" w:cs="Times New Roman" w:eastAsia="Times New Roman" w:hAnsi="Times New Roman"/>
                <w:b/>
                <w:bCs/>
                <w:i w:val="false"/>
                <w:iCs w:val="false"/>
                <w:sz w:val="20"/>
                <w:szCs w:val="20"/>
              </w:rPr>
              <w:t xml:space="preserve">Section 7: Research and Knowledge Translation (Overarching Aspect)</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7.1</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Service Audit and Quality Improvement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Clinical audit and quality improvement: audit against agreed standards, monitoring of outcomes and structured improvement of the service.</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Is practice audited against agreed standards, and are audits completed through to re-audit?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outcomes monitored and used to improve the service?</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Injury rates and time lost are audited each season against agreed standards and the previous season.</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Rehabilitation outcomes are audited across units against an agreed standard.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The time from referral to occupational health assessment is audited and improved.</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The health service audits return-to-work outcomes and acts on the findings.</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7.2</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Research Engagement</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Engagement with the wider research community: participation in external studies, academic partnerships, research ethics and governance, and the use of the service's data for research; in-house research capability is scored under 4.4.</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take part in external studies or hold academic partnerships?</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research governed, with ethical approval and data sharing agreements in place?</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A club contributes anonymised injury data to a multi-club surveillance study.</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A unit takes part in an externally led study with ethical approval.</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Staff take part in a multi-centre study of shift work and health.</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The employer works with a university to evaluate its health programme.</w:t>
            </w:r>
          </w:p>
        </w:tc>
      </w:tr>
      <w:tr>
        <w:trPr>
          <w:cantSplit/>
        </w:trPr>
        <w:tc>
          <w:tcPr>
            <w:tcW w:type="dxa" w:w="6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7.3</w:t>
            </w:r>
          </w:p>
        </w:tc>
        <w:tc>
          <w:tcPr>
            <w:tcW w:type="dxa" w:w="376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Evidence-Informed Practice</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The processes by which current best evidence is found, appraised and built into protocols and individual decisions.</w:t>
            </w:r>
          </w:p>
        </w:tc>
        <w:tc>
          <w:tcPr>
            <w:tcW w:type="dxa" w:w="41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How is current evidence found and appraised, and by whom?</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Are protocols referenced, and are they updated when the evidence changes?</w:t>
            </w:r>
          </w:p>
        </w:tc>
        <w:tc>
          <w:tcPr>
            <w:tcW w:type="dxa" w:w="530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The medical team reviews its concussion protocol against each new consensus statement.</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Injury prevention guidance for training is updated from systematic reviews.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Occupational health protocols cite current guidance and are reviewed on a schedule.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Workplace health interventions are chosen on the basis of appraised evidence.</w:t>
            </w:r>
          </w:p>
        </w:tc>
      </w:tr>
      <w:tr>
        <w:trPr>
          <w:cantSplit/>
        </w:trPr>
        <w:tc>
          <w:tcPr>
            <w:tcW w:type="dxa" w:w="6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7.4</w:t>
            </w:r>
          </w:p>
        </w:tc>
        <w:tc>
          <w:tcPr>
            <w:tcW w:type="dxa" w:w="376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Knowledge Dissemination and Translation</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Sharing knowledge beyond the service: publication, conference presentation, external teaching and the translation of the service's learning into practice elsewhere.</w:t>
            </w:r>
          </w:p>
        </w:tc>
        <w:tc>
          <w:tcPr>
            <w:tcW w:type="dxa" w:w="418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val="false"/>
                <w:bCs w:val="false"/>
                <w:i w:val="false"/>
                <w:iCs w:val="false"/>
                <w:sz w:val="20"/>
                <w:szCs w:val="20"/>
              </w:rPr>
              <w:t xml:space="preserve">Does the service share what it learns, through publication, presentation or external teaching?</w:t>
            </w:r>
          </w:p>
          <w:p>
            <w:pPr>
              <w:keepNext w:val="false"/>
              <w:spacing w:after="20" w:before="60" w:line="240" w:lineRule="auto"/>
              <w:jc w:val="left"/>
            </w:pPr>
            <w:r>
              <w:rPr>
                <w:rFonts w:ascii="Times New Roman" w:cs="Times New Roman" w:eastAsia="Times New Roman" w:hAnsi="Times New Roman"/>
                <w:b w:val="false"/>
                <w:bCs w:val="false"/>
                <w:i w:val="false"/>
                <w:iCs w:val="false"/>
                <w:sz w:val="20"/>
                <w:szCs w:val="20"/>
              </w:rPr>
              <w:t xml:space="preserve">Is its learning taken into practice in other services?</w:t>
            </w:r>
          </w:p>
        </w:tc>
        <w:tc>
          <w:tcPr>
            <w:tcW w:type="dxa" w:w="530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val="false"/>
              <w:spacing w:after="20" w:before="20" w:line="240" w:lineRule="auto"/>
              <w:jc w:val="left"/>
            </w:pPr>
            <w:r>
              <w:rPr>
                <w:rFonts w:ascii="Times New Roman" w:cs="Times New Roman" w:eastAsia="Times New Roman" w:hAnsi="Times New Roman"/>
                <w:b/>
                <w:bCs/>
                <w:i w:val="false"/>
                <w:iCs w:val="false"/>
                <w:sz w:val="20"/>
                <w:szCs w:val="20"/>
              </w:rPr>
              <w:t xml:space="preserve">Sport: </w:t>
            </w:r>
            <w:r>
              <w:rPr>
                <w:rFonts w:ascii="Times New Roman" w:cs="Times New Roman" w:eastAsia="Times New Roman" w:hAnsi="Times New Roman"/>
                <w:b w:val="false"/>
                <w:bCs w:val="false"/>
                <w:i w:val="false"/>
                <w:iCs w:val="false"/>
                <w:sz w:val="20"/>
                <w:szCs w:val="20"/>
              </w:rPr>
              <w:t xml:space="preserve">Staff present the club's rehabilitation outcomes at a national conference.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Military and tactical: </w:t>
            </w:r>
            <w:r>
              <w:rPr>
                <w:rFonts w:ascii="Times New Roman" w:cs="Times New Roman" w:eastAsia="Times New Roman" w:hAnsi="Times New Roman"/>
                <w:b w:val="false"/>
                <w:bCs w:val="false"/>
                <w:i w:val="false"/>
                <w:iCs w:val="false"/>
                <w:sz w:val="20"/>
                <w:szCs w:val="20"/>
              </w:rPr>
              <w:t xml:space="preserve">Lessons from deployed medical care are shared with civilian services.</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Healthcare: </w:t>
            </w:r>
            <w:r>
              <w:rPr>
                <w:rFonts w:ascii="Times New Roman" w:cs="Times New Roman" w:eastAsia="Times New Roman" w:hAnsi="Times New Roman"/>
                <w:b w:val="false"/>
                <w:bCs w:val="false"/>
                <w:i w:val="false"/>
                <w:iCs w:val="false"/>
                <w:sz w:val="20"/>
                <w:szCs w:val="20"/>
              </w:rPr>
              <w:t xml:space="preserve">The service publishes its evaluation of a staff wellbeing programme.</w:t>
            </w:r>
          </w:p>
          <w:p>
            <w:pPr>
              <w:keepNext w:val="false"/>
              <w:spacing w:after="20" w:before="60" w:line="240" w:lineRule="auto"/>
              <w:jc w:val="left"/>
            </w:pPr>
            <w:r>
              <w:rPr>
                <w:rFonts w:ascii="Times New Roman" w:cs="Times New Roman" w:eastAsia="Times New Roman" w:hAnsi="Times New Roman"/>
                <w:b/>
                <w:bCs/>
                <w:i w:val="false"/>
                <w:iCs w:val="false"/>
                <w:sz w:val="20"/>
                <w:szCs w:val="20"/>
              </w:rPr>
              <w:t xml:space="preserve">Corporate and occupational: </w:t>
            </w:r>
            <w:r>
              <w:rPr>
                <w:rFonts w:ascii="Times New Roman" w:cs="Times New Roman" w:eastAsia="Times New Roman" w:hAnsi="Times New Roman"/>
                <w:b w:val="false"/>
                <w:bCs w:val="false"/>
                <w:i w:val="false"/>
                <w:iCs w:val="false"/>
                <w:sz w:val="20"/>
                <w:szCs w:val="20"/>
              </w:rPr>
              <w:t xml:space="preserve">The employer shares its approach to workplace health with others in its sector.</w:t>
            </w:r>
          </w:p>
        </w:tc>
      </w:tr>
    </w:tbl>
    <w:sectPr>
      <w:headerReference w:type="default" r:id="rId9"/>
      <w:footerReference w:type="default" r:id="rId10"/>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and PM-OpSpec user guide,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rPr>
        <w:rFonts w:ascii="Times New Roman" w:cs="Times New Roman" w:eastAsia="Times New Roman" w:hAnsi="Times New Roman"/>
        <w:sz w:val="16"/>
        <w:szCs w:val="16"/>
      </w:rPr>
      <w:t xml:space="preserve">PM-NEAT and PM-OpSpec user guide, pilot version 0.2  |  STRIKERS Elite Sports Group | University of St Andrews  |  CC BY-NC-ND 4.0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6"/>
        <w:szCs w:val="16"/>
      </w:rPr>
      <w:t xml:space="preserve">Pilot version 0.2: not yet validated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PM-NEAT and PM-OpSpec user guide (pilot version 0.2)</dc:title>
  <dc:creator>Symposion</dc:creator>
  <cp:lastModifiedBy>Symposion</cp:lastModifiedBy>
  <cp:revision>1</cp:revision>
  <dcterms:created xsi:type="dcterms:W3CDTF">2026-10-22T20:27:51.816Z</dcterms:created>
  <dcterms:modified xsi:type="dcterms:W3CDTF">2026-10-22T20:27:51.817Z</dcterms:modified>
</cp:coreProperties>
</file>

<file path=docProps/custom.xml><?xml version="1.0" encoding="utf-8"?>
<Properties xmlns="http://schemas.openxmlformats.org/officeDocument/2006/custom-properties" xmlns:vt="http://schemas.openxmlformats.org/officeDocument/2006/docPropsVTypes"/>
</file>