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452C0" w:sz="6" w:space="1"/>
        </w:pBdr>
        <w:spacing w:after="60" w:before="0"/>
      </w:pPr>
      <w:r>
        <w:rPr>
          <w:rFonts w:ascii="Arial" w:cs="Arial" w:eastAsia="Arial" w:hAnsi="Arial"/>
          <w:b/>
          <w:bCs/>
          <w:caps/>
          <w:color w:val="3452C0"/>
          <w:sz w:val="16"/>
          <w:szCs w:val="16"/>
        </w:rPr>
        <w:t xml:space="preserve">IN DEVELOPMENT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840"/>
          <w:sz w:val="34"/>
          <w:szCs w:val="34"/>
        </w:rPr>
        <w:t xml:space="preserve">Performance Medicine Operational Specification</w:t>
      </w:r>
    </w:p>
    <w:p>
      <w:pPr>
        <w:spacing w:after="60" w:before="0"/>
      </w:pPr>
      <w:r>
        <w:rPr>
          <w:rFonts w:ascii="Arial" w:cs="Arial" w:eastAsia="Arial" w:hAnsi="Arial"/>
          <w:color w:val="6B6888"/>
          <w:sz w:val="20"/>
          <w:szCs w:val="20"/>
        </w:rPr>
        <w:t xml:space="preserve">PM Operational Specification  |  Form 2  |  v0.1</w:t>
      </w:r>
    </w:p>
    <w:p>
      <w:pPr>
        <w:spacing w:after="160" w:before="0"/>
      </w:pPr>
      <w:r>
        <w:rPr>
          <w:rFonts w:ascii="Arial" w:cs="Arial" w:eastAsia="Arial" w:hAnsi="Arial"/>
          <w:color w:val="6B6888"/>
          <w:sz w:val="18"/>
          <w:szCs w:val="18"/>
        </w:rPr>
        <w:t xml:space="preserve">STRIKERS Elite Sports Group  |  University of St Andrews</w:t>
      </w:r>
    </w:p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840"/>
          <w:sz w:val="24"/>
          <w:szCs w:val="24"/>
        </w:rPr>
        <w:t xml:space="preserve">About this document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The Performance Medicine Operational Specification defines the domain-level purpose, responsibilities, and core functions of a Performance Medicine system. It serves as a live commissioning document and governance reference, not a one-time audit tool. It is structured across nine operational sub-components and uses a Foundation / Established / Advanced maturity model to characterise the level of provision.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This document is intended to be completed by the senior Performance Medicine lead in consultation with system stakeholders. It should be version-controlled and reviewed at least annually or following significant system change.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A1840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A1840"/>
          <w:sz w:val="26"/>
          <w:szCs w:val="26"/>
        </w:rPr>
        <w:t xml:space="preserve">Section A — Setting and Context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Organisation / system name</w:t>
            </w:r>
          </w:p>
        </w:tc>
        <w:tc>
          <w:tcPr>
            <w:tcW w:type="dxa" w:w="69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Setting type</w:t>
            </w:r>
          </w:p>
        </w:tc>
        <w:tc>
          <w:tcPr>
            <w:tcW w:type="dxa" w:w="69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840"/>
                <w:sz w:val="18"/>
                <w:szCs w:val="18"/>
              </w:rPr>
              <w:t xml:space="preserve">Elite sport  /  Military  /  Corporate  /  Clinical  /  Other (specify)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Sport or domain</w:t>
            </w:r>
          </w:p>
        </w:tc>
        <w:tc>
          <w:tcPr>
            <w:tcW w:type="dxa" w:w="69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Performance system level</w:t>
            </w:r>
          </w:p>
        </w:tc>
        <w:tc>
          <w:tcPr>
            <w:tcW w:type="dxa" w:w="69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840"/>
                <w:sz w:val="18"/>
                <w:szCs w:val="18"/>
              </w:rPr>
              <w:t xml:space="preserve">International  /  National  /  Regional  /  Club  /  Individual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System lead / responsible person</w:t>
            </w:r>
          </w:p>
        </w:tc>
        <w:tc>
          <w:tcPr>
            <w:tcW w:type="dxa" w:w="69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Document version and date</w:t>
            </w:r>
          </w:p>
        </w:tc>
        <w:tc>
          <w:tcPr>
            <w:tcW w:type="dxa" w:w="69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69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Document purpose</w:t>
            </w:r>
          </w:p>
        </w:tc>
        <w:tc>
          <w:tcPr>
            <w:tcW w:type="dxa" w:w="69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840"/>
                <w:sz w:val="18"/>
                <w:szCs w:val="18"/>
              </w:rPr>
              <w:t xml:space="preserve">Commissioning  /  Governance reference  /  Annual review  /  System redesign  /  Other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4A3898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4A3898"/>
          <w:sz w:val="26"/>
          <w:szCs w:val="26"/>
        </w:rPr>
        <w:t xml:space="preserve">Section B — PMIF Domain Coverage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888"/>
          <w:sz w:val="18"/>
          <w:szCs w:val="18"/>
        </w:rPr>
        <w:t xml:space="preserve">For each PMIF domain, describe the provision in this system, confirm whether it is in scope, and note any local adaptations or context-specific considerations. Reference the current PM-NEAT assessment if available.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600"/>
        <w:gridCol w:w="1746"/>
      </w:tblGrid>
      <w:tr>
        <w:trPr>
          <w:tblHeader/>
        </w:trP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 / Domain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provision in this system</w:t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 scope?</w:t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/ local adaptation</w:t>
            </w:r>
          </w:p>
        </w:tc>
      </w:tr>
      <w:tr>
        <w:tc>
          <w:tcPr>
            <w:gridSpan w:val="4"/>
            <w:tcBorders>
              <w:top w:val="single" w:color="6040B4" w:sz="6"/>
              <w:left w:val="single" w:color="6040B4" w:sz="6"/>
              <w:bottom w:val="single" w:color="6040B4" w:sz="6"/>
              <w:right w:val="single" w:color="6040B4" w:sz="6"/>
            </w:tcBorders>
            <w:shd w:fill="604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 Medical</w:t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1.1 Sport and Exercise Medicine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1.2 Lifestyle and Preventative Medicine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1.3 Emergency and Acute Care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1.4 Specialist Liaison and Referral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3452C0" w:sz="6"/>
              <w:left w:val="single" w:color="3452C0" w:sz="6"/>
              <w:bottom w:val="single" w:color="3452C0" w:sz="6"/>
              <w:right w:val="single" w:color="3452C0" w:sz="6"/>
            </w:tcBorders>
            <w:shd w:fill="3452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 Psychological</w:t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2.1 Performance Psychology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2.2 Clinical Psychology and Mental Health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 Psychological Load Management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2.4 Psychosocial Environment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2.5 Cognitive Performance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2.6 Welfare, Crisis and Safeguarding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1A7888" w:sz="6"/>
              <w:left w:val="single" w:color="1A7888" w:sz="6"/>
              <w:bottom w:val="single" w:color="1A7888" w:sz="6"/>
              <w:right w:val="single" w:color="1A7888" w:sz="6"/>
            </w:tcBorders>
            <w:shd w:fill="1A7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 Allied Health and Scientific</w:t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3.1 Physiotherapy and Rehabilitation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3.2 Nutrition and Dietetics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3.3 Strength, Conditioning and Exercise Science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3.4 Sport and Exercise Physiology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3.5 Biomechanics and Movement Science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3.6 Sleep, Recovery and Load Monitoring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364888" w:sz="6"/>
              <w:left w:val="single" w:color="364888" w:sz="6"/>
              <w:bottom w:val="single" w:color="364888" w:sz="6"/>
              <w:right w:val="single" w:color="364888" w:sz="6"/>
            </w:tcBorders>
            <w:shd w:fill="364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 Technical</w:t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4.1 Data Systems and Performance Analytics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4.2 Performance Testing and Assessment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4.3 Technology and Digital Integration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4.4 Research and Performance Science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4.5 Environment, Facility and Equipment Management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4.6 Operational Logistics and Coordination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4A3898" w:sz="6"/>
              <w:left w:val="single" w:color="4A3898" w:sz="6"/>
              <w:bottom w:val="single" w:color="4A3898" w:sz="6"/>
              <w:right w:val="single" w:color="4A3898" w:sz="6"/>
            </w:tcBorders>
            <w:shd w:fill="4A38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 Clinical Practice (OA)</w:t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5.1 Governance and Clinical Accountability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5.2 Clinical Decision-Making and Pathways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5.3 Documentation and Information Governance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5.4 Safeguarding and Duty of Care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4A3898" w:sz="6"/>
              <w:left w:val="single" w:color="4A3898" w:sz="6"/>
              <w:bottom w:val="single" w:color="4A3898" w:sz="6"/>
              <w:right w:val="single" w:color="4A3898" w:sz="6"/>
            </w:tcBorders>
            <w:shd w:fill="4A38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6. Education and Development (OA)</w:t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6.1 Staff CPD and Professional Development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6.2 Mentorship and Workforce Development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6.3 Education for Performers and Teams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6.4 Workforce Pipeline and Training Capacity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4A3898" w:sz="6"/>
              <w:left w:val="single" w:color="4A3898" w:sz="6"/>
              <w:bottom w:val="single" w:color="4A3898" w:sz="6"/>
              <w:right w:val="single" w:color="4A3898" w:sz="6"/>
            </w:tcBorders>
            <w:shd w:fill="4A38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7. Research and Knowledge Translation (OA)</w:t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7.1 Service Audit and Quality Improvement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7.2 Research Engagement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7.3 Evidence-Informed Practice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7.4 Knowledge Dissemination and Translation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A1840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A1840"/>
          <w:sz w:val="26"/>
          <w:szCs w:val="26"/>
        </w:rPr>
        <w:t xml:space="preserve">Section C — Operational Structure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888"/>
          <w:sz w:val="18"/>
          <w:szCs w:val="18"/>
        </w:rPr>
        <w:t xml:space="preserve">Complete each of the nine sub-components below. The maturity descriptor table at the end of this section provides reference criteria.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840"/>
          <w:sz w:val="22"/>
          <w:szCs w:val="22"/>
        </w:rPr>
        <w:t xml:space="preserve">C1 — Purpose and scope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888"/>
          <w:sz w:val="17"/>
          <w:szCs w:val="17"/>
        </w:rPr>
        <w:t xml:space="preserve">Define the overarching purpose of this Performance Medicine system and the boundaries of its scope within the organisation.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Mission statement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Scope (what is included)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Out of scope (explicit exclusions)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Current maturity level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840"/>
                <w:sz w:val="18"/>
                <w:szCs w:val="18"/>
              </w:rPr>
              <w:t xml:space="preserve">Foundation     Established     Advanced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840"/>
          <w:sz w:val="22"/>
          <w:szCs w:val="22"/>
        </w:rPr>
        <w:t xml:space="preserve">C2 — Population and user group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888"/>
          <w:sz w:val="17"/>
          <w:szCs w:val="17"/>
        </w:rPr>
        <w:t xml:space="preserve">Define the performers and stakeholders served by this system.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Primary performer group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Number of performers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Level and roles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Secondary user groups (staff, coaches, families)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Current maturity level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840"/>
                <w:sz w:val="18"/>
                <w:szCs w:val="18"/>
              </w:rPr>
              <w:t xml:space="preserve">Foundation     Established     Advanced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840"/>
          <w:sz w:val="22"/>
          <w:szCs w:val="22"/>
        </w:rPr>
        <w:t xml:space="preserve">C3 — Domain coverage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888"/>
          <w:sz w:val="17"/>
          <w:szCs w:val="17"/>
        </w:rPr>
        <w:t xml:space="preserve">Summarise the overall domain coverage of the system. Detail is captured in Section B.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Domains with full provision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Domains with partial or developing provision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Domains not currently in scope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Current maturity level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840"/>
                <w:sz w:val="18"/>
                <w:szCs w:val="18"/>
              </w:rPr>
              <w:t xml:space="preserve">Foundation     Established     Advanced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840"/>
          <w:sz w:val="22"/>
          <w:szCs w:val="22"/>
        </w:rPr>
        <w:t xml:space="preserve">C4 — Team structure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888"/>
          <w:sz w:val="17"/>
          <w:szCs w:val="17"/>
        </w:rPr>
        <w:t xml:space="preserve">Define the composition, roles, and reporting structure of the Performance Medicine team.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Team lead role and title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Core team members (role and WTE)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Associated / sessional staff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Reporting structure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Inter-professional collaboration arrangements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Current maturity level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840"/>
                <w:sz w:val="18"/>
                <w:szCs w:val="18"/>
              </w:rPr>
              <w:t xml:space="preserve">Foundation     Established     Advanced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840"/>
          <w:sz w:val="22"/>
          <w:szCs w:val="22"/>
        </w:rPr>
        <w:t xml:space="preserve">C5 — Governance and accountability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888"/>
          <w:sz w:val="17"/>
          <w:szCs w:val="17"/>
        </w:rPr>
        <w:t xml:space="preserve">Define clinical governance arrangements, accountability structures, and regulatory compliance.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Clinical governance lead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Accountability framework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Regulatory registrations and standards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Safeguarding and duty of care arrangements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Current maturity level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840"/>
                <w:sz w:val="18"/>
                <w:szCs w:val="18"/>
              </w:rPr>
              <w:t xml:space="preserve">Foundation     Established     Advanced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840"/>
          <w:sz w:val="22"/>
          <w:szCs w:val="22"/>
        </w:rPr>
        <w:t xml:space="preserve">C6 — Information systems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888"/>
          <w:sz w:val="17"/>
          <w:szCs w:val="17"/>
        </w:rPr>
        <w:t xml:space="preserve">Define the data, record-keeping, and information governance arrangements.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Medical record system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Performance data platforms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Information sharing protocols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GDPR / data protection compliance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Current maturity level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840"/>
                <w:sz w:val="18"/>
                <w:szCs w:val="18"/>
              </w:rPr>
              <w:t xml:space="preserve">Foundation     Established     Advanced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840"/>
          <w:sz w:val="22"/>
          <w:szCs w:val="22"/>
        </w:rPr>
        <w:t xml:space="preserve">C7 — Decision-making pathways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888"/>
          <w:sz w:val="17"/>
          <w:szCs w:val="17"/>
        </w:rPr>
        <w:t xml:space="preserve">Define the key clinical and operational decision-making processes and pathways.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Return-to-performance pathway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Referral pathways (internal and external)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Emergency and acute care pathway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Mental health and welfare pathway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Shared decision-making arrangements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Current maturity level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840"/>
                <w:sz w:val="18"/>
                <w:szCs w:val="18"/>
              </w:rPr>
              <w:t xml:space="preserve">Foundation     Established     Advanced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840"/>
          <w:sz w:val="22"/>
          <w:szCs w:val="22"/>
        </w:rPr>
        <w:t xml:space="preserve">C8 — Evaluation expectations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888"/>
          <w:sz w:val="17"/>
          <w:szCs w:val="17"/>
        </w:rPr>
        <w:t xml:space="preserve">Define how the system will be monitored, audited, and evaluated.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Key performance indicators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Audit and quality improvement cycle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Outcome reporting arrangements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Review frequency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Current maturity level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840"/>
                <w:sz w:val="18"/>
                <w:szCs w:val="18"/>
              </w:rPr>
              <w:t xml:space="preserve">Foundation     Established     Advanced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840"/>
          <w:sz w:val="22"/>
          <w:szCs w:val="22"/>
        </w:rPr>
        <w:t xml:space="preserve">C9 — Required resources and enabling conditions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888"/>
          <w:sz w:val="17"/>
          <w:szCs w:val="17"/>
        </w:rPr>
        <w:t xml:space="preserve">Define the resource requirements and enabling conditions necessary for the system to function as specified.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Workforce requirements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Facility and equipment requirements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Budget and financial resources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Technology and data infrastructure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Organisational enablers (leadership, culture)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Current maturity level</w:t>
            </w:r>
          </w:p>
        </w:tc>
        <w:tc>
          <w:tcPr>
            <w:tcW w:type="dxa" w:w="7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840"/>
                <w:sz w:val="18"/>
                <w:szCs w:val="18"/>
              </w:rPr>
              <w:t xml:space="preserve">Foundation     Established     Advanced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A1840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A1840"/>
          <w:sz w:val="26"/>
          <w:szCs w:val="26"/>
        </w:rPr>
        <w:t xml:space="preserve">Maturity Model Reference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888"/>
          <w:sz w:val="18"/>
          <w:szCs w:val="18"/>
        </w:rPr>
        <w:t xml:space="preserve">Use the following descriptors when assigning maturity levels for each sub-component.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746"/>
      </w:tblGrid>
      <w:tr>
        <w:trPr>
          <w:tblHeader/>
        </w:trPr>
        <w:tc>
          <w:tcPr>
            <w:tcW w:type="dxa" w:w="2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Sub-component</w:t>
            </w:r>
          </w:p>
        </w:tc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Foundation</w:t>
            </w:r>
          </w:p>
        </w:tc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2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</w:tr>
      <w:tr>
        <w:tc>
          <w:tcPr>
            <w:tcW w:type="dxa" w:w="2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Purpose and scope</w:t>
            </w:r>
          </w:p>
        </w:tc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Informally understood; not documented</w:t>
            </w:r>
          </w:p>
        </w:tc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Documented purpose; clear scope boundaries; known to key staff</w:t>
            </w:r>
          </w:p>
        </w:tc>
        <w:tc>
          <w:tcPr>
            <w:tcW w:type="dxa" w:w="2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Embedded in strategy; regularly reviewed; communicated across organisation</w:t>
            </w:r>
          </w:p>
        </w:tc>
      </w:tr>
      <w:tr>
        <w:tc>
          <w:tcPr>
            <w:tcW w:type="dxa" w:w="2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Population and user group</w:t>
            </w:r>
          </w:p>
        </w:tc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Informally known; not formally defined</w:t>
            </w:r>
          </w:p>
        </w:tc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Defined population; roles documented; needs assessment completed</w:t>
            </w:r>
          </w:p>
        </w:tc>
        <w:tc>
          <w:tcPr>
            <w:tcW w:type="dxa" w:w="2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Dynamic population profiling; stratified needs; reviewed annually</w:t>
            </w:r>
          </w:p>
        </w:tc>
      </w:tr>
      <w:tr>
        <w:tc>
          <w:tcPr>
            <w:tcW w:type="dxa" w:w="2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Domain coverage</w:t>
            </w:r>
          </w:p>
        </w:tc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 hoc provision; significant gaps</w:t>
            </w:r>
          </w:p>
        </w:tc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Core domains covered; gaps identified and planned for</w:t>
            </w:r>
          </w:p>
        </w:tc>
        <w:tc>
          <w:tcPr>
            <w:tcW w:type="dxa" w:w="2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Comprehensive coverage; all PMIF domains addressed; gaps monitored</w:t>
            </w:r>
          </w:p>
        </w:tc>
      </w:tr>
      <w:tr>
        <w:tc>
          <w:tcPr>
            <w:tcW w:type="dxa" w:w="2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Team structure</w:t>
            </w:r>
          </w:p>
        </w:tc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 or informal; no defined structure</w:t>
            </w:r>
          </w:p>
        </w:tc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Defined roles; reporting lines established; MDT meetings in place</w:t>
            </w:r>
          </w:p>
        </w:tc>
        <w:tc>
          <w:tcPr>
            <w:tcW w:type="dxa" w:w="2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 interdisciplinary team; formalised governance; succession planning</w:t>
            </w:r>
          </w:p>
        </w:tc>
      </w:tr>
      <w:tr>
        <w:tc>
          <w:tcPr>
            <w:tcW w:type="dxa" w:w="2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Governance and accountability</w:t>
            </w:r>
          </w:p>
        </w:tc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formal governance; ad hoc accountability</w:t>
            </w:r>
          </w:p>
        </w:tc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Clinical lead identified; basic governance in place; policies documented</w:t>
            </w:r>
          </w:p>
        </w:tc>
        <w:tc>
          <w:tcPr>
            <w:tcW w:type="dxa" w:w="2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 governance framework; external audit; professional standards met</w:t>
            </w:r>
          </w:p>
        </w:tc>
      </w:tr>
      <w:tr>
        <w:tc>
          <w:tcPr>
            <w:tcW w:type="dxa" w:w="2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Information systems</w:t>
            </w:r>
          </w:p>
        </w:tc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Paper-based or informal; no integration</w:t>
            </w:r>
          </w:p>
        </w:tc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Electronic records in use; basic data sharing; GDPR compliant</w:t>
            </w:r>
          </w:p>
        </w:tc>
        <w:tc>
          <w:tcPr>
            <w:tcW w:type="dxa" w:w="2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Integrated data ecosystem; real-time dashboards; full IG compliance</w:t>
            </w:r>
          </w:p>
        </w:tc>
      </w:tr>
      <w:tr>
        <w:tc>
          <w:tcPr>
            <w:tcW w:type="dxa" w:w="2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Decision-making pathways</w:t>
            </w:r>
          </w:p>
        </w:tc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Informal; case-by-case; not documented</w:t>
            </w:r>
          </w:p>
        </w:tc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Key pathways documented; MDT decision-making; referral pathways clear</w:t>
            </w:r>
          </w:p>
        </w:tc>
        <w:tc>
          <w:tcPr>
            <w:tcW w:type="dxa" w:w="2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pathways formalised; shared decision-making embedded; regular review</w:t>
            </w:r>
          </w:p>
        </w:tc>
      </w:tr>
      <w:tr>
        <w:tc>
          <w:tcPr>
            <w:tcW w:type="dxa" w:w="2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Evaluation expectations</w:t>
            </w:r>
          </w:p>
        </w:tc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formal evaluation; outcomes not tracked</w:t>
            </w:r>
          </w:p>
        </w:tc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KPIs defined; annual audit; basic outcome reporting</w:t>
            </w:r>
          </w:p>
        </w:tc>
        <w:tc>
          <w:tcPr>
            <w:tcW w:type="dxa" w:w="2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Continuous evaluation; external benchmarking; published outcomes</w:t>
            </w:r>
          </w:p>
        </w:tc>
      </w:tr>
      <w:tr>
        <w:tc>
          <w:tcPr>
            <w:tcW w:type="dxa" w:w="2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Resources and enabling conditions</w:t>
            </w:r>
          </w:p>
        </w:tc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Under-resourced; significant gaps; ad hoc</w:t>
            </w:r>
          </w:p>
        </w:tc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Core resources in place; budget allocated; enabling conditions identified</w:t>
            </w:r>
          </w:p>
        </w:tc>
        <w:tc>
          <w:tcPr>
            <w:tcW w:type="dxa" w:w="2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Fully resourced; strategic investment; enabling conditions optimised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A1840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A1840"/>
          <w:sz w:val="26"/>
          <w:szCs w:val="26"/>
        </w:rPr>
        <w:t xml:space="preserve">Section D — Governance and Resources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840"/>
          <w:sz w:val="22"/>
          <w:szCs w:val="22"/>
        </w:rPr>
        <w:t xml:space="preserve">D1 — Document control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746"/>
      </w:tblGrid>
      <w:tr>
        <w:tc>
          <w:tcPr>
            <w:tcW w:type="dxa" w:w="2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  <w:tc>
          <w:tcPr>
            <w:tcW w:type="dxa" w:w="3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of issue</w:t>
            </w:r>
          </w:p>
        </w:tc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 review date</w:t>
            </w:r>
          </w:p>
        </w:tc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Related documents</w:t>
            </w:r>
          </w:p>
        </w:tc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840"/>
          <w:sz w:val="22"/>
          <w:szCs w:val="22"/>
        </w:rPr>
        <w:t xml:space="preserve">D2 — Sign-off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46"/>
      </w:tblGrid>
      <w:tr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 and role</w:t>
            </w:r>
          </w:p>
        </w:tc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3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4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Medicine lead</w:t>
            </w:r>
          </w:p>
        </w:tc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4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4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4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Organisational lead</w:t>
            </w:r>
          </w:p>
        </w:tc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4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4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4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Clinical governance lead</w:t>
            </w:r>
          </w:p>
        </w:tc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4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4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D0CDE8" w:sz="4" w:space="1"/>
        </w:pBdr>
        <w:spacing w:after="0" w:before="120"/>
        <w:jc w:val="center"/>
      </w:pPr>
      <w:r>
        <w:rPr>
          <w:rFonts w:ascii="Arial" w:cs="Arial" w:eastAsia="Arial" w:hAnsi="Arial"/>
          <w:color w:val="9896B0"/>
          <w:sz w:val="16"/>
          <w:szCs w:val="16"/>
        </w:rPr>
        <w:t xml:space="preserve">IN DEVELOPMENT v0.1 — Performance Medicine Operational Specification | STRIKERS Elite Sports Group &amp; University of St Andrews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2026-06-17T05:41:38.548Z</dcterms:created>
  <dcterms:modified xsi:type="dcterms:W3CDTF">2026-06-17T05:41:38.548Z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