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A3898" w:sz="6" w:space="1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4A3898"/>
          <w:sz w:val="16"/>
          <w:szCs w:val="16"/>
        </w:rPr>
        <w:t xml:space="preserve">PROTOTYPE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840"/>
          <w:sz w:val="36"/>
          <w:szCs w:val="36"/>
        </w:rPr>
        <w:t xml:space="preserve">Performance Medicine Assessment Tool</w:t>
      </w:r>
    </w:p>
    <w:p>
      <w:pPr>
        <w:spacing w:after="60" w:before="0"/>
      </w:pPr>
      <w:r>
        <w:rPr>
          <w:rFonts w:ascii="Arial" w:cs="Arial" w:eastAsia="Arial" w:hAnsi="Arial"/>
          <w:color w:val="6B6888"/>
          <w:sz w:val="20"/>
          <w:szCs w:val="20"/>
        </w:rPr>
        <w:t xml:space="preserve">PM-NEAT  |  Form 1  |  v0.1</w:t>
      </w:r>
    </w:p>
    <w:p>
      <w:pPr>
        <w:spacing w:after="160" w:before="0"/>
      </w:pPr>
      <w:r>
        <w:rPr>
          <w:rFonts w:ascii="Arial" w:cs="Arial" w:eastAsia="Arial" w:hAnsi="Arial"/>
          <w:color w:val="6B6888"/>
          <w:sz w:val="18"/>
          <w:szCs w:val="18"/>
        </w:rPr>
        <w:t xml:space="preserve">STRIKERS Elite Sports Group  |  University of St Andrews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4"/>
          <w:szCs w:val="24"/>
        </w:rPr>
        <w:t xml:space="preserve">About this tool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Performance Medicine Assessment Tool (PM-NEAT) is a structured dual-purpose instrument derived from the Performance Medicine Integrative Framework (PMIF). It supports both prospective needs evaluation and evaluative service assessment across all PMIF domains.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Function 1 (Needs Evaluation, Form 1.1) — Prospective: what does this setting require? Use before service design or commissioning.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Function 2 (Service Assessment, Form 1.2) — Evaluative: how well does current provision meet need? Use to audit an existing service.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Function 3 (Gap Analysis, Form 1.3) — Combined: both functions completed together. Use when reviewing and redesigning a service.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document is Form 1.3 (Gap Analysis). Complete Orientation, then rate each domain for Anticipated Need and Current Provision. The Gap score is calculated automatically as Need minus Provision.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2"/>
          <w:szCs w:val="22"/>
        </w:rPr>
        <w:t xml:space="preserve">Rating guide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2146"/>
      </w:tblGrid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 rating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Not applicable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= Low need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= Moderate need</w:t>
            </w:r>
          </w:p>
        </w:tc>
        <w:tc>
          <w:tcPr>
            <w:tcW w:type="dxa" w:w="21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= High need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 rating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None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= Limited / ad hoc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= Partial / developing</w:t>
            </w:r>
          </w:p>
        </w:tc>
        <w:tc>
          <w:tcPr>
            <w:tcW w:type="dxa" w:w="21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= Established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 score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 minus Provision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&gt;= 2 (priority action)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Amber = 1 (development)</w:t>
            </w:r>
          </w:p>
        </w:tc>
        <w:tc>
          <w:tcPr>
            <w:tcW w:type="dxa" w:w="21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 &lt;= 0 (met / exceeded)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8"/>
          <w:szCs w:val="28"/>
        </w:rPr>
        <w:t xml:space="preserve">Orientation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Client / organisation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Setting type / function / level / sport or domain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Performers: who / numbers / level / roles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Date(s) of assessment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Assessor(s)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Purpose / trigger for assessment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Previous assessment?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>  Yes     No     Unknown</w:t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Aims and objectives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Key performance indicators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Timeline: near / medium / longer term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Existing Performance Medicine components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Specific requests or constraints</w:t>
            </w:r>
          </w:p>
        </w:tc>
        <w:tc>
          <w:tcPr>
            <w:tcW w:type="dxa" w:w="6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688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6040B4"/>
          <w:sz w:val="26"/>
          <w:szCs w:val="26"/>
        </w:rPr>
        <w:t xml:space="preserve">Section 1 — Medical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6040B4" w:sz="6"/>
              <w:left w:val="single" w:color="6040B4" w:sz="6"/>
              <w:bottom w:val="single" w:color="6040B4" w:sz="6"/>
              <w:right w:val="single" w:color="6040B4" w:sz="6"/>
            </w:tcBorders>
            <w:shd w:fill="604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Medical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1.1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Injury diagnosis, management and medical oversight of athletes and performers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1.2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Health promotion, chronic disease prevention and lifestyle optimisation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1.3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Emergency medical provision and acute illness/injury response in performance settings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1.4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Coordination with external specialists, secondary and tertiary care pathways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452C0"/>
          <w:sz w:val="26"/>
          <w:szCs w:val="26"/>
        </w:rPr>
        <w:t xml:space="preserve">Section 2 — Psychological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3452C0" w:sz="6"/>
              <w:left w:val="single" w:color="3452C0" w:sz="6"/>
              <w:bottom w:val="single" w:color="3452C0" w:sz="6"/>
              <w:right w:val="single" w:color="3452C0" w:sz="6"/>
            </w:tcBorders>
            <w:shd w:fill="3452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Psychological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2.1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Mental skills, psychological readiness and performance optimisation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2.2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Assessment and treatment of mental health conditions in performers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2.3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Monitoring and managing psychological stress, burnout and recovery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2.4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Team culture, relationships, social dynamics and environmental factors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2.5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Attention, decision-making, cognitive load and brain performance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2.6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Duty of care, safeguarding frameworks and crisis response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888"/>
          <w:sz w:val="26"/>
          <w:szCs w:val="26"/>
        </w:rPr>
        <w:t xml:space="preserve">Section 3 — Allied Health and Scientific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1A7888" w:sz="6"/>
              <w:left w:val="single" w:color="1A7888" w:sz="6"/>
              <w:bottom w:val="single" w:color="1A7888" w:sz="6"/>
              <w:right w:val="single" w:color="1A7888" w:sz="6"/>
            </w:tcBorders>
            <w:shd w:fill="1A7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Allied Health and Scientific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3.1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Musculoskeletal assessment, rehabilitation and return-to-performance pathways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3.2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Nutritional assessment, fuelling strategies and body composition management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3.3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Physical preparation, training load prescription and performance development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3.4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Physiological monitoring, VO2max, lactate testing and endurance management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3.5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Movement analysis, technique optimisation and injury biomechanics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3.6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Sleep quality, recovery interventions and training load quantification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64888"/>
          <w:sz w:val="26"/>
          <w:szCs w:val="26"/>
        </w:rPr>
        <w:t xml:space="preserve">Section 4 — Technical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364888" w:sz="6"/>
              <w:left w:val="single" w:color="364888" w:sz="6"/>
              <w:bottom w:val="single" w:color="364888" w:sz="6"/>
              <w:right w:val="single" w:color="364888" w:sz="6"/>
            </w:tcBorders>
            <w:shd w:fill="364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Technical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4.1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Data infrastructure, performance analysis platforms and reporting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4.2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Standardised testing protocols, benchmarking and monitoring systems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4.3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Wearables, GPS, biometric monitoring and digital health tools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4.4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Applied research, evidence generation and performance science capability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4.5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Training environments, medical facilities and equipment provision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4.6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Travel, scheduling, camp management and multi-site operations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A3898"/>
          <w:sz w:val="26"/>
          <w:szCs w:val="26"/>
        </w:rPr>
        <w:t xml:space="preserve">Section 5 — Clinical Practice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8"/>
          <w:szCs w:val="18"/>
        </w:rPr>
        <w:t xml:space="preserve">Overarching aspect — applies across all four quadrants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4A3898" w:sz="6"/>
              <w:left w:val="single" w:color="4A3898" w:sz="6"/>
              <w:bottom w:val="single" w:color="4A3898" w:sz="6"/>
              <w:right w:val="single" w:color="4A3898" w:sz="6"/>
            </w:tcBorders>
            <w:shd w:fill="4A3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Clinical Practice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5.1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Clinical governance structures, accountability frameworks and regulatory compliance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5.2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Shared decision-making protocols, care pathways and inter-professional consultation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5.3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Medical record systems, GDPR compliance and information sharing protocols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5.4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Child protection, adult safeguarding, consent frameworks and duty of care obligations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3898"/>
          <w:sz w:val="26"/>
          <w:szCs w:val="26"/>
        </w:rPr>
        <w:t xml:space="preserve">Section 6 — Education and Development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8"/>
          <w:szCs w:val="18"/>
        </w:rPr>
        <w:t xml:space="preserve">Overarching aspect — applies across all four quadrants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4A3898" w:sz="6"/>
              <w:left w:val="single" w:color="4A3898" w:sz="6"/>
              <w:bottom w:val="single" w:color="4A3898" w:sz="6"/>
              <w:right w:val="single" w:color="4A3898" w:sz="6"/>
            </w:tcBorders>
            <w:shd w:fill="4A3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Education and Development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6.1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Continuing professional development, training and competency frameworks for PM staff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6.2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Clinical supervision, mentorship structures and talent pipeline development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6.3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Health literacy, performance education and informed self-management for performers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6.4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Placement, internship and workforce development programmes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A3898"/>
          <w:sz w:val="26"/>
          <w:szCs w:val="26"/>
        </w:rPr>
        <w:t xml:space="preserve">Section 7 — Research and Knowledge Translation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8"/>
          <w:sz w:val="18"/>
          <w:szCs w:val="18"/>
        </w:rPr>
        <w:t xml:space="preserve">Overarching aspect — applies across all four quadrants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1000"/>
        <w:gridCol w:w="2346"/>
      </w:tblGrid>
      <w:tr>
        <w:tc>
          <w:tcPr>
            <w:gridSpan w:val="5"/>
            <w:tcBorders>
              <w:top w:val="single" w:color="4A3898" w:sz="6"/>
              <w:left w:val="single" w:color="4A3898" w:sz="6"/>
              <w:bottom w:val="single" w:color="4A3898" w:sz="6"/>
              <w:right w:val="single" w:color="4A3898" w:sz="6"/>
            </w:tcBorders>
            <w:shd w:fill="4A3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Research and Knowledge Translation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Domain description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Need (0-3)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Provision (0-3)</w:t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7.1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Clinical audit cycles, outcome monitoring and service improvement processes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7.2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Participation in research, ethics governance and academic collaboration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7.3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Integration of current best evidence into practice decisions and protocols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840"/>
                <w:sz w:val="18"/>
                <w:szCs w:val="18"/>
              </w:rPr>
              <w:t xml:space="preserve">7.4</w:t>
            </w:r>
          </w:p>
        </w:tc>
        <w:tc>
          <w:tcPr>
            <w:tcW w:type="dxa" w:w="38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>Publication, conference engagement and knowledge translation to practice</w:t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  <w:tc>
          <w:tcPr>
            <w:tcW w:type="dxa" w:w="2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8"/>
          <w:szCs w:val="28"/>
        </w:rPr>
        <w:t xml:space="preserve">Synthesis and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400"/>
        <w:gridCol w:w="3546"/>
      </w:tblGrid>
      <w:tr>
        <w:trPr>
          <w:tblHeader/>
        </w:trP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Need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Gap</w:t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RAG</w:t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observations</w:t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Medical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Psychological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Allied Health and Scientific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Technical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Clinical Practice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Education and Development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Research and Knowledge Translation</w:t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2"/>
          <w:szCs w:val="22"/>
        </w:rPr>
        <w:t xml:space="preserve">Priority actions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00"/>
        <w:gridCol w:w="1400"/>
        <w:gridCol w:w="1946"/>
      </w:tblGrid>
      <w:tr>
        <w:trPr>
          <w:tblHeader/>
        </w:trPr>
        <w:tc>
          <w:tcPr>
            <w:tcW w:type="dxa" w:w="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1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1A1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2"/>
          <w:szCs w:val="22"/>
        </w:rPr>
        <w:t xml:space="preserve">Narrative conclusion and recommendations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120"/>
              <w:left w:type="dxa" w:w="120"/>
              <w:bottom w:type="dxa" w:w="4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840"/>
          <w:sz w:val="22"/>
          <w:szCs w:val="22"/>
        </w:rPr>
        <w:t xml:space="preserve">Sign-off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assessor name</w:t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shd w:fill="F4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D0CDE8" w:sz="6"/>
              <w:left w:val="single" w:color="D0CDE8" w:sz="6"/>
              <w:bottom w:val="single" w:color="D0CDE8" w:sz="6"/>
              <w:right w:val="single" w:color="D0CDE8" w:sz="6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D0CDE8" w:sz="4" w:space="1"/>
        </w:pBdr>
        <w:spacing w:after="0" w:before="120"/>
        <w:jc w:val="center"/>
      </w:pPr>
      <w:r>
        <w:rPr>
          <w:rFonts w:ascii="Arial" w:cs="Arial" w:eastAsia="Arial" w:hAnsi="Arial"/>
          <w:color w:val="9896B0"/>
          <w:sz w:val="16"/>
          <w:szCs w:val="16"/>
        </w:rPr>
        <w:t xml:space="preserve">PROTOTYPE v0.1 — Performance Medicine Assessment Tool (PM-NEAT) | STRIKERS Elite Sports Group &amp; University of St Andrews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2026-06-17T05:39:47.338Z</dcterms:created>
  <dcterms:modified xsi:type="dcterms:W3CDTF">2026-06-17T05:39:47.353Z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