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jc w:val="left"/>
      </w:pPr>
      <w:r>
        <w:rPr>
          <w:rFonts w:ascii="Times New Roman" w:cs="Times New Roman" w:eastAsia="Times New Roman" w:hAnsi="Times New Roman"/>
          <w:b w:val="false"/>
          <w:bCs w:val="false"/>
          <w:i/>
          <w:iCs/>
          <w:sz w:val="22"/>
          <w:szCs w:val="22"/>
        </w:rPr>
        <w:t xml:space="preserve">Pilot version 0.2: not yet validated</w:t>
      </w:r>
    </w:p>
    <w:p>
      <w:pPr>
        <w:keepNext w:val="false"/>
        <w:keepLines w:val="false"/>
        <w:spacing w:after="0" w:before="0" w:line="360" w:lineRule="auto"/>
        <w:jc w:val="left"/>
      </w:pPr>
      <w:r>
        <w:rPr>
          <w:rFonts w:ascii="Times New Roman" w:cs="Times New Roman" w:eastAsia="Times New Roman" w:hAnsi="Times New Roman"/>
          <w:b/>
          <w:bCs/>
          <w:i w:val="false"/>
          <w:iCs w:val="false"/>
          <w:sz w:val="28"/>
          <w:szCs w:val="28"/>
        </w:rPr>
        <w:t xml:space="preserve">Performance Medicine Needs Evaluation and Assessment Tool (PM-NEAT)</w:t>
      </w:r>
    </w:p>
    <w:p>
      <w:pPr>
        <w:keepNext w:val="false"/>
        <w:keepLines w:val="false"/>
        <w:spacing w:after="0" w:before="0" w:line="360" w:lineRule="auto"/>
        <w:jc w:val="left"/>
      </w:pPr>
      <w:r>
        <w:rPr>
          <w:rFonts w:ascii="Times New Roman" w:cs="Times New Roman" w:eastAsia="Times New Roman" w:hAnsi="Times New Roman"/>
          <w:b/>
          <w:bCs/>
          <w:i w:val="false"/>
          <w:iCs w:val="false"/>
          <w:sz w:val="22"/>
          <w:szCs w:val="22"/>
        </w:rPr>
        <w:t xml:space="preserve">Form 1.1: Needs Evaluation</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STRIKERS Elite Sports Group | University of St Andrews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About this form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Performance Medicine Needs Evaluation and Assessment Tool (PM-NEAT) is a structured instrument, built on the 34 domains of the Performance Medicine Integrative Framework (PMIF), with which a performance medicine service can be planned, audited and redesigned. It has three forms: Form 1.1, Needs Evaluation, rates what a setting requires in each domain and is used before a service is designed or commissioned; Form 1.2, Service Assessment, rates current provision and is used to audit an existing service; and Form 1.3, Gap Analysis, rates both together, the gap being need minus provision, and is used when a service is reviewed and redesigned.</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This is Form 1.1, Needs Evaluation. Complete the orientation first, then rate anticipated need in each domain using the level descriptors of the rating guide, guided by the prompts beside each domain, which direct you to the evidence on which a rating should rest. Rate a domain not applicable only where it does not apply to the setting at all: a domain that applies but needs nothing at present is rated 0 for need. Examples of each domain in the four settings are given in the user guide and in the web version of the tool (https://andrewhallorthosports.github.io/performance-medicine/tools/), which also calculates the summary. Performers means the athletes, service personnel, clinicians or employees whose work places sustained physical, cognitive or psychological demands on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Version 0.2 is a pilot version and has not yet been validated. Form 1.2 and Form 1.3 and the Performance Medicine Operational Specification (PM-OpSpec, Form 2) use the same domains, and the ratings of a completed Gap Analysis (Form 1.3) can be carried into PM-OpSpec Section B and sub-component C3.</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Rating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986"/>
        <w:gridCol w:w="6137"/>
      </w:tblGrid>
      <w:tr>
        <w:trPr>
          <w:cantSplit/>
          <w:tblHeader/>
        </w:trPr>
        <w:tc>
          <w:tcPr>
            <w:tcW w:type="dxa" w:w="90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Rating</w:t>
            </w:r>
          </w:p>
        </w:tc>
        <w:tc>
          <w:tcPr>
            <w:tcW w:type="dxa" w:w="198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Label</w:t>
            </w:r>
          </w:p>
        </w:tc>
        <w:tc>
          <w:tcPr>
            <w:tcW w:type="dxa" w:w="61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Descriptor</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Need</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current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applies to this setting, but no provision is required at present.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Low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An occasional or minor requirement that general staff can meet.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Moderate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regular requirement that calls for planned provision.</w:t>
            </w:r>
          </w:p>
        </w:tc>
      </w:tr>
      <w:tr>
        <w:trPr>
          <w:cantSplit/>
        </w:trPr>
        <w:tc>
          <w:tcPr>
            <w:tcW w:type="dxa" w:w="90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High need</w:t>
            </w:r>
          </w:p>
        </w:tc>
        <w:tc>
          <w:tcPr>
            <w:tcW w:type="dxa" w:w="61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frequent, critical or high-risk requirement that calls for dedicated specialist provision.</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Orientation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 or service</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Setting: sport / military and tactical / healthcare / corporate and occupational / other (specify)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Function, level, and sport or field</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Performers: who, numbers, level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Date or dates of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Lead assessor (name and role)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Other assessors (names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Purpose of, or trigger for, the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Previous assessment?   Yes  /  No  /  Unknown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Aims and objectives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Key performance indicators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Timeline: near, medium and longer term</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Existing performance medicine components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Specific requests or constraints</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1: Medical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Medical care of performers: diagnosis and medical management of injury and illness, medical screening, prescribing and oversight of health across training, competition, operations or work; emergency care is scored under 1.3 and rehabilitation under 3.1.</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medical care to performers, with what qualifications, and how much of their time is committed to this population?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documented medical screening process, and are its results acted on and reviewed?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holds medical oversight across training, competition, operations or work, and how are injury and illness recorded?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Lifestyle and Preventative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Health promotion and the prevention of chronic disease: assessment of and intervention on physical activity, diet, sleep, stress, substance use and social connection, and screening for long-term risk; specialist nutrition and sleep provision for performance are scored under 3.2 and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lifestyle risk (physical activity, diet, sleep, stress, substance use and social connection) assessed in a structured way, and how often?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intervention or referral follows when a risk is identified?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performers' long-term health, beyond the current season, posting or role, considered in planning?</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Emergency and Acute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Emergency action planning and the immediate care of acute injury and illness wherever performers train, compete, deploy or work, with the staff training, equipment and drills that it requires.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written emergency action plan for each venue or site, and when was it last rehearsed?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staff trained to the level of emergency care the setting requires, with training in date and equipment checked?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quickly can a performer with a serious acute injury or illness reach definitive care?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Specialist Liaison and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Access to care beyond the service: referral pathways to external specialists and to secondary and tertiary services, and the coordination of performers' care across them.</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there agreed referral routes to the specialists that performers most often need, and how long do referrals take?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coordinates care when a performer is under more than one external service?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information from external services return to the performer's record?</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2: Psychological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Psychology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Performance psychology: mental skills, psychological readiness and preparation for performance under pressure, for individuals and teams.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performance psychology support, with what qualifications, and how do performers access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psychological preparation for high-pressure events planned and reviewed, for individuals and for teams?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Psychology and Mental Health</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Mental health care: screening, assessment, treatment and onward referral for mental health conditions in performers; the response to acute crises is scored under 2.6.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routine screening for mental health conditions, and what happens after a positive screen?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provides assessment and treatment, and how long do performers wait for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referral routes to specialist mental health services agreed and used?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Psychological Load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Psychological load: monitoring and management of stress, fatigue and burnout, and of psychological recovery; physical load is scored under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stress, fatigue and burnout monitored,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action follows when monitoring shows rising psychological load?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Psychosocial Environment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psychosocial environment: team culture, psychological safety, relationships, leadership climate and the social conditions in which performers live and work.</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team culture and psychological safety assessed, and how are the results acted 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relationships between performers, the coaches, commanders or managers around them, and support staff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Cognitive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Cognitive performance: attention, perception, decision-making under pressure, cognitive load and brain health.</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attention, decision-making and cognitive load assessed or trained, and how?</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brain health monitored over time, with cognitive baselines where head impact is a risk?</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Welfare, Crisis and Safeguarding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Welfare support for performers and the immediate response to psychological crises, critical incidents and safeguarding concerns as they arise, with onward referral; the organisation's safeguarding framework is scored under 5.4.</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known route by which a performer in crisis, or a concern about one, reaches help at any hour?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critical incidents followed by a structured response and onward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individual welfare and safeguarding concerns recorded and followed through?</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3: Allied Health and Scientific</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Physiotherapy and Rehabilitation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Musculoskeletal assessment, treatment and progressive rehabilitation to agreed criteria; the decision to return to full performance is scored under 5.2.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musculoskeletal assessment and treatment, and how quickly can performers be seen?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rehabilitation plans written, progressed against agreed criteria and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Nutrition and Dietetics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Nutritional assessment, fuelling and hydration strategies, body composition, supplement use and the dietetic management of clinical conditions.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nutrition support, with what qualifications, and is it individual or group-based?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fuelling, hydration and supplement use assessed and governed, including the risk of low energy availability?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clinical conditions that need dietetic management identified and referred?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Strength, Conditioning and Exercise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Physical preparation: the design, prescription and delivery of strength, conditioning and exercise programmes, including the planning of training load; monitoring of the load received is scored under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designs and delivers physical preparation, with what qualifications?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programmes individualised, and is training load planned across the year or cycle?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Physiology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Physiological assessment and support: aerobic and anaerobic capacity, metabolic and environmental physiology (heat, cold and altitude), and the interpretation of results for training and health; the testing programme as a whole is scored under 4.2.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physiological assessment available, and are results interpreted and used in training and health decisions?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environmental demands such as heat, cold or altitude assessed and prepared for?</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Biomechanics and Movement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Movement and technique analysis, the physical demands of the task and the biomechanics of injury and its prevention.</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movement or technique analysed, by whom and with what methods?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physical demands of the task understood and used in preventing injury?</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Sleep, Recovery and Load Monitoring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Sleep, recovery practice and the monitoring of the training, operational or occupational load that performers receive and of their response to it; the prescription of load is scored under 3.3 and psychological load under 2.3.</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 load that performers receive measured, and is their response to it monitored?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sleep and recovery assessed, and what support follows a problem?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reviews the monitoring data, and how does it change practice?</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4: Technical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Data Systems and Performance Analytics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Data infrastructure and analytics: the platforms, integration, analysis and reporting that turn health and performance data into information for decisions; information governance is scored under 5.3.</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Where are health and performance data held, and can they be brought together?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analyses the data, and how are the results reported to those who make decisions?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Testing and Assessment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testing programme across disciplines: selection and scheduling of standardised tests, their reliability and quality control, and benchmarking; the interpretation of results within each discipline is scored in that discipline's domain.</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schedule of standardised tests across disciplines, and is it followed?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reliability and quality control of the tests known, and are results benchmarked?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Technology and Digital Integration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Wearable, positional, biometric and digital health technologies: their selection, evaluation, deployment and integration into practice; the platforms that store and report their data are scored under 4.1.</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Which wearable, positional or digital health technologies are used, and were they evaluated before adoption?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they integrated into practice, and who is responsible for them?</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and Performance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In-house research and performance science capability: the people, skills and time to generate local evidence through applied studies, innovation projects and the evaluation of new methods; external research partnerships are scored under 7.2.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have staff with the skills and protected time to run applied studies?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new methods evaluated locally before they are adopted?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Environment, Facility and Equipment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Facilities and equipment: training, operational and clinical spaces, and the provision, maintenance and safety of equipment; emergency equipment is scored under 1.3.</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training, operational and clinical spaces fit for purpose and safe?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equipment maintained, logged and replaced on schedule?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Operational Logistics and Coordination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Operational logistics: travel, scheduling, deployments and multi-site operations, and the movement of staff, equipment and medicines between sites.</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travel, scheduling and multi-site work planned, and who coordinates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staff, equipment and medicines moved between sites, and is this governed?</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5: Clinical Practice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Governance and Clinical Accountability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governance: lines of clinical accountability, professional registration and scope of practice, policies, risk and incident management, and regulatory compliance; the governance and management of the wider organisation sit in the framework's outer boundary.</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a named clinical lead accountable for the service, and are staff registered and working within their scope of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policies current, and are risks and incidents recorded and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Decision-Making and Pathways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decision-making: shared decision-making with performers, inter-professional case review, care pathways across disciplines and decisions on return to full performance.</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involved in decisions about their care, and is this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complex cases reviewed across disciplines, and are care pathways written?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decisions on return to full performance made, and by whom?</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Documentation, Records and Information Governance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Records and information governance: clinical record systems, confidentiality, data protection compliance and the protocols for sharing information across disciplines and organisations.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clinical records complete, secure and kept to professional standards?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written protocol, with consent, for sharing information between disciplines and with coaches, commanders or managers?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Safeguarding and Duty of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safeguarding framework: child and adult protection policies, designated safeguarding leads, consent procedures, reporting and escalation routes, and the duty of care owed to performers and staff; the response to individual concerns is scored under 2.6.</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child and adult safeguarding policies current, and is there a named designated lead?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consent procedures, and the routes for reporting and escalation, written and known to staff?</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6: Education and Development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Staff CPD and Professional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Continuing professional development of current staff: training plans, protected learning time and competency frameworks within each discipline and for working across disciplines.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each member of staff have a development plan and protected learning time?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competency framework within each discipline and for working across disciplines?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Mentorship, Supervision and Workforce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and professional supervision and mentoring of current staff, and the development of individuals within their roles through them; the recruitment and training of future practitioners is scored under 6.4.</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 staff receive regular clinical or professional supervision, and is it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mentoring available, particularly for staff new to the setting?</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Education for Performers and Teams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Education of performers and of the coaches, commanders and managers around them: health literacy, performance education and support for informed self-management.</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and the coaches, commanders or managers around them, educated about health and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the education support performers to manage their own health?</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Workforce Pipeline and Training Capacity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pipeline of future practitioners: placements, internships and training posts, the capacity to host and teach them, and succession planning for key roles.</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host placements, internships or training posts, and does it have the capacity to teach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succession plan for key roles?</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7: Research and Knowledge Translation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Service Audit and Quality Improvement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audit and quality improvement: audit against agreed standards, monitoring of outcomes and structured improvement of the service.</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practice audited against agreed standards, and are audits completed through to re-audit?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outcomes monitored and used to improve the service?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Engagement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Engagement with the wider research community: participation in external studies, academic partnerships, research ethics and governance, and the use of the service's data for research; in-house research capability is scored under 4.4.</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take part in external studies or hold academic partnerships?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research governed, with ethical approval and data sharing agreements in place?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Evidence-Informed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processes by which current best evidence is found, appraised and built into protocols and individual decisions.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is current evidence found and appraised,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protocols referenced, and are they updated when the evidence changes?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Knowledge Dissemination and Translation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Sharing knowledge beyond the service: publication, conference presentation, external teaching and the translation of the service's learning into practice elsewhere.</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share what it learns, through publication, presentation or external teaching?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its learning taken into practice in other services?</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iCs/>
          <w:sz w:val="20"/>
          <w:szCs w:val="20"/>
        </w:rPr>
        <w:t xml:space="preserve">Rate each domain from 0 to 3, or N/A. </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Synthesis and summary</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908"/>
        <w:gridCol w:w="1675"/>
        <w:gridCol w:w="1954"/>
        <w:gridCol w:w="6421"/>
      </w:tblGrid>
      <w:tr>
        <w:trPr>
          <w:cantSplit/>
          <w:tblHeader/>
        </w:trPr>
        <w:tc>
          <w:tcPr>
            <w:tcW w:type="dxa" w:w="390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Section</w:t>
            </w:r>
          </w:p>
        </w:tc>
        <w:tc>
          <w:tcPr>
            <w:tcW w:type="dxa" w:w="167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Domains rated</w:t>
            </w:r>
          </w:p>
        </w:tc>
        <w:tc>
          <w:tcPr>
            <w:tcW w:type="dxa" w:w="195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Total need</w:t>
            </w:r>
          </w:p>
        </w:tc>
        <w:tc>
          <w:tcPr>
            <w:tcW w:type="dxa" w:w="642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Key observations</w:t>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 Medical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 Psychological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 Allied Health and Scientific</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 Technical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 Clinical Practice</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 Education and Development</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 Research and Knowledge Translation</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All sections</w:t>
            </w:r>
          </w:p>
        </w:tc>
        <w:tc>
          <w:tcPr>
            <w:tcW w:type="dxa" w:w="167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val="false"/>
          <w:iCs w:val="false"/>
          <w:sz w:val="20"/>
          <w:szCs w:val="20"/>
        </w:rPr>
        <w:t xml:space="preserve">For each section: domains rated counts the domains with a need rating entered, those rated not applicable being excluded, and total need sums their ratings.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Priority actions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2233"/>
        <w:gridCol w:w="6700"/>
        <w:gridCol w:w="2094"/>
        <w:gridCol w:w="2094"/>
      </w:tblGrid>
      <w:tr>
        <w:trPr>
          <w:cantSplit/>
          <w:tblHeader/>
        </w:trPr>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w:t>
            </w:r>
          </w:p>
        </w:tc>
        <w:tc>
          <w:tcPr>
            <w:tcW w:type="dxa" w:w="670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Action required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Timeline</w:t>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Narrative conclusion and recommendations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3958"/>
      </w:tblGrid>
      <w:tr>
        <w:trPr>
          <w:cantSplit/>
          <w:trHeight w:val="3600" w:hRule="atLeast"/>
        </w:trPr>
        <w:tc>
          <w:tcPr>
            <w:tcW w:type="dxa" w:w="1395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Sign-off</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583"/>
        <w:gridCol w:w="5583"/>
        <w:gridCol w:w="2792"/>
      </w:tblGrid>
      <w:tr>
        <w:trPr>
          <w:cantSplit/>
          <w:tblHeader/>
        </w:trPr>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 assessor name</w:t>
            </w:r>
          </w:p>
        </w:tc>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Signature</w:t>
            </w:r>
          </w:p>
        </w:tc>
        <w:tc>
          <w:tcPr>
            <w:tcW w:type="dxa" w:w="279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Date</w:t>
            </w:r>
          </w:p>
        </w:tc>
      </w:tr>
      <w:tr>
        <w:trPr>
          <w:cantSplit/>
          <w:trHeight w:val="700" w:hRule="atLeast"/>
        </w:trPr>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val="false"/>
        <w:keepLines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Licence: Creative Commons Attribution-NonCommercial-NoDerivatives 4.0 International (CC BY-NC-ND 4.0), https://creativecommons.org/licenses/by-nc-nd/4.0/. The form may be copied and shared unchanged, for non-commercial use, with attribution to STRIKERS Elite Sports Group | University of St Andrews; adapted versions may not be distributed.</w:t>
      </w:r>
    </w:p>
    <w:sectPr>
      <w:headerReference w:type="default" r:id="rId11"/>
      <w:footerReference w:type="default" r:id="rId12"/>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1.1,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1.1,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1.1,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PM-NEAT Form 1.1: Needs Evaluation (pilot version 0.2)</dc:title>
  <dc:creator>Symposion</dc:creator>
  <cp:lastModifiedBy>Symposion</cp:lastModifiedBy>
  <cp:revision>1</cp:revision>
  <dcterms:created xsi:type="dcterms:W3CDTF">2026-10-19T23:35:05.715Z</dcterms:created>
  <dcterms:modified xsi:type="dcterms:W3CDTF">2026-10-19T23:35:05.715Z</dcterms:modified>
</cp:coreProperties>
</file>

<file path=docProps/custom.xml><?xml version="1.0" encoding="utf-8"?>
<Properties xmlns="http://schemas.openxmlformats.org/officeDocument/2006/custom-properties" xmlns:vt="http://schemas.openxmlformats.org/officeDocument/2006/docPropsVTypes"/>
</file>