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jc w:val="left"/>
      </w:pPr>
      <w:r>
        <w:rPr>
          <w:rFonts w:ascii="Times New Roman" w:cs="Times New Roman" w:eastAsia="Times New Roman" w:hAnsi="Times New Roman"/>
          <w:b w:val="false"/>
          <w:bCs w:val="false"/>
          <w:i/>
          <w:iCs/>
          <w:sz w:val="22"/>
          <w:szCs w:val="22"/>
        </w:rPr>
        <w:t xml:space="preserve">Pilot version 0.2: not yet validated</w:t>
      </w:r>
    </w:p>
    <w:p>
      <w:pPr>
        <w:keepNext w:val="false"/>
        <w:keepLines w:val="false"/>
        <w:spacing w:after="0" w:before="0" w:line="360" w:lineRule="auto"/>
        <w:jc w:val="left"/>
      </w:pPr>
      <w:r>
        <w:rPr>
          <w:rFonts w:ascii="Times New Roman" w:cs="Times New Roman" w:eastAsia="Times New Roman" w:hAnsi="Times New Roman"/>
          <w:b/>
          <w:bCs/>
          <w:i w:val="false"/>
          <w:iCs w:val="false"/>
          <w:sz w:val="28"/>
          <w:szCs w:val="28"/>
        </w:rPr>
        <w:t xml:space="preserve">Performance Medicine Needs Evaluation and Assessment Tool (PM-NEAT)</w:t>
      </w:r>
    </w:p>
    <w:p>
      <w:pPr>
        <w:keepNext w:val="false"/>
        <w:keepLines w:val="false"/>
        <w:spacing w:after="0" w:before="0" w:line="360" w:lineRule="auto"/>
        <w:jc w:val="left"/>
      </w:pPr>
      <w:r>
        <w:rPr>
          <w:rFonts w:ascii="Times New Roman" w:cs="Times New Roman" w:eastAsia="Times New Roman" w:hAnsi="Times New Roman"/>
          <w:b/>
          <w:bCs/>
          <w:i w:val="false"/>
          <w:iCs w:val="false"/>
          <w:sz w:val="22"/>
          <w:szCs w:val="22"/>
        </w:rPr>
        <w:t xml:space="preserve">Form 1.3: Gap Analysis</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STRIKERS Elite Sports Group | University of St Andrews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About this form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Performance Medicine Needs Evaluation and Assessment Tool (PM-NEAT) is a structured instrument, built on the 34 domains of the Performance Medicine Integrative Framework (PMIF), with which a performance medicine service can be planned, audited and redesigned. It has three forms: Form 1.1, Needs Evaluation, rates what a setting requires in each domain and is used before a service is designed or commissioned; Form 1.2, Service Assessment, rates current provision and is used to audit an existing service; and Form 1.3, Gap Analysis, rates both together, the gap being need minus provision, and is used when a service is reviewed and redesigned.</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This is Form 1.3, Gap Analysis. Complete the orientation first, then rate anticipated need and current provision in each domain using the level descriptors of the rating guide, guided by the prompts beside each domain, which direct you to the evidence on which a rating should rest. Rate a domain not applicable only where it does not apply to the setting at all: a domain that applies but needs nothing at present is rated 0 for need, and a domain not applicable for need is not applicable for provision. Examples of each domain in the four settings are given in the user guide and in the web version of the tool (https://andrewhallorthosports.github.io/performance-medicine/tools/), which also calculates the summary. Performers means the athletes, service personnel, clinicians or employees whose work places sustained physical, cognitive or psychological demands on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Version 0.2 is a pilot version and has not yet been validated. Form 1.1 and Form 1.2 and the Performance Medicine Operational Specification (PM-OpSpec, Form 2) use the same domains, and the ratings of a completed Gap Analysis (Form 1.3) can be carried into PM-OpSpec Section B and sub-component C3.</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Rating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986"/>
        <w:gridCol w:w="6137"/>
      </w:tblGrid>
      <w:tr>
        <w:trPr>
          <w:cantSplit/>
          <w:tblHeader/>
        </w:trPr>
        <w:tc>
          <w:tcPr>
            <w:tcW w:type="dxa" w:w="90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Rating</w:t>
            </w:r>
          </w:p>
        </w:tc>
        <w:tc>
          <w:tcPr>
            <w:tcW w:type="dxa" w:w="198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Label</w:t>
            </w:r>
          </w:p>
        </w:tc>
        <w:tc>
          <w:tcPr>
            <w:tcW w:type="dxa" w:w="61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Descriptor</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Need</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current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applies to this setting, but no provision is required at present.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Low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An occasional or minor requirement that general staff can meet.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Moderate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regular requirement that calls for planned 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High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frequent, critical or high-risk requirement that calls for dedicated specialist provision.</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None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Limited or ad hoc</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Occasional or informal provision, met by general staff or dependent on particular individuals.</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or developing</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regular provision without dedicated specialist input, or specialist provision that is not yet delivered consistently.</w:t>
            </w:r>
          </w:p>
        </w:tc>
      </w:tr>
      <w:tr>
        <w:trPr>
          <w:cantSplit/>
        </w:trPr>
        <w:tc>
          <w:tcPr>
            <w:tcW w:type="dxa" w:w="90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Established</w:t>
            </w:r>
          </w:p>
        </w:tc>
        <w:tc>
          <w:tcPr>
            <w:tcW w:type="dxa" w:w="61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Dedicated specialist provision that is planned, consistent and documented, with named responsibility.</w:t>
            </w:r>
          </w:p>
        </w:tc>
      </w:tr>
    </w:tbl>
    <w:p>
      <w:pPr>
        <w:keepNext w:val="false"/>
        <w:keepLines w:val="false"/>
        <w:spacing w:after="0" w:before="0" w:line="360" w:lineRule="auto"/>
        <w:jc w:val="both"/>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cantSplit/>
          <w:tblHeader/>
        </w:trPr>
        <w:tc>
          <w:tcPr>
            <w:tcW w:type="dxa" w:w="144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 band</w:t>
            </w:r>
          </w:p>
        </w:tc>
        <w:tc>
          <w:tcPr>
            <w:tcW w:type="dxa" w:w="397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Rule (gap = need minus provision)</w:t>
            </w:r>
          </w:p>
        </w:tc>
        <w:tc>
          <w:tcPr>
            <w:tcW w:type="dxa" w:w="361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Meaning</w:t>
            </w:r>
          </w:p>
        </w:tc>
      </w:tr>
      <w:tr>
        <w:trPr>
          <w:cantSplit/>
        </w:trPr>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Red</w:t>
            </w:r>
          </w:p>
        </w:tc>
        <w:tc>
          <w:tcPr>
            <w:tcW w:type="dxa" w:w="39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gap of 2 or more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priority action</w:t>
            </w:r>
          </w:p>
        </w:tc>
      </w:tr>
      <w:tr>
        <w:trPr>
          <w:cantSplit/>
        </w:trPr>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Amber</w:t>
            </w:r>
          </w:p>
        </w:tc>
        <w:tc>
          <w:tcPr>
            <w:tcW w:type="dxa" w:w="39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gap of 1</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development</w:t>
            </w:r>
          </w:p>
        </w:tc>
      </w:tr>
      <w:tr>
        <w:trPr>
          <w:cantSplit/>
        </w:trPr>
        <w:tc>
          <w:tcPr>
            <w:tcW w:type="dxa" w:w="144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Green</w:t>
            </w:r>
          </w:p>
        </w:tc>
        <w:tc>
          <w:tcPr>
            <w:tcW w:type="dxa" w:w="397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gap of 0 or less</w:t>
            </w:r>
          </w:p>
        </w:tc>
        <w:tc>
          <w:tcPr>
            <w:tcW w:type="dxa" w:w="361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met or exceeded</w:t>
            </w:r>
          </w:p>
        </w:tc>
      </w:tr>
    </w:tbl>
    <w:p>
      <w:pPr>
        <w:keepNext w:val="false"/>
        <w:keepLines w:val="false"/>
        <w:spacing w:after="0" w:before="60" w:line="240" w:lineRule="auto"/>
        <w:jc w:val="left"/>
      </w:pPr>
      <w:r>
        <w:rPr>
          <w:rFonts w:ascii="Times New Roman" w:cs="Times New Roman" w:eastAsia="Times New Roman" w:hAnsi="Times New Roman"/>
          <w:b w:val="false"/>
          <w:bCs w:val="false"/>
          <w:i w:val="false"/>
          <w:iCs w:val="false"/>
          <w:sz w:val="20"/>
          <w:szCs w:val="20"/>
        </w:rPr>
        <w:t xml:space="preserve">A domain rated not applicable has no gap and is excluded from every total.</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Orientation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cantSplit/>
          <w:trHeight w:val="480" w:hRule="atLeast"/>
        </w:trPr>
        <w:tc>
          <w:tcPr>
            <w:tcW w:type="dxa" w:w="3430"/>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Organisation or service</w:t>
            </w:r>
          </w:p>
        </w:tc>
        <w:tc>
          <w:tcPr>
            <w:tcW w:type="dxa" w:w="5596"/>
            <w:tcBorders>
              <w:top w:val="single" w:color="000000" w:sz="6"/>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Setting: sport / military and tactical / healthcare / corporate and occupational / other (specify)</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Function, level, and sport or field</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Performers: who, numbers, level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Date or dates of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Lead assessor (name and role)</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Other assessors (names and roles)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Purpose of, or trigger for, the assessment</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Previous assessment?   Yes  /  No  /  Unknown</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Aims and objectives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Key performance indicators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Timeline: near, medium and longer term</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Existing performance medicine components</w:t>
            </w:r>
          </w:p>
        </w:tc>
        <w:tc>
          <w:tcPr>
            <w:tcW w:type="dxa" w:w="55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480" w:hRule="atLeast"/>
        </w:trPr>
        <w:tc>
          <w:tcPr>
            <w:tcW w:type="dxa" w:w="343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Specific requests or constraints</w:t>
            </w:r>
          </w:p>
        </w:tc>
        <w:tc>
          <w:tcPr>
            <w:tcW w:type="dxa" w:w="55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1: Medical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Medical care of performers: diagnosis and medical management of injury and illness, medical screening, prescribing and oversight of health across training, competition, operations or work; emergency care is scored under 1.3 and rehabilitation under 3.1.</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medical care to performers, with what qualifications, and how much of their time is committed to this population?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documented medical screening process, and are its results acted on and reviewed?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holds medical oversight across training, competition, operations or work, and how are injury and illness recorded?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Lifestyle and Preventative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Health promotion and the prevention of chronic disease: assessment of and intervention on physical activity, diet, sleep, stress, substance use and social connection, and screening for long-term risk; specialist nutrition and sleep provision for performance are scored under 3.2 and 3.6.</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lifestyle risk (physical activity, diet, sleep, stress, substance use and social connection) assessed in a structured way, and how often?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intervention or referral follows when a risk is identified?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performers' long-term health, beyond the current season, posting or role, considered in planning?</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Emergency and Acute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Emergency action planning and the immediate care of acute injury and illness wherever performers train, compete, deploy or work, with the staff training, equipment and drills that it requires.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written emergency action plan for each venue or site, and when was it last rehearsed?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staff trained to the level of emergency care the setting requires, with training in date and equipment checked?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quickly can a performer with a serious acute injury or illness reach definitive care?</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Specialist Liaison and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Access to care beyond the service: referral pathways to external specialists and to secondary and tertiary services, and the coordination of performers' care across them.</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there agreed referral routes to the specialists that performers most often need, and how long do referrals take?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coordinates care when a performer is under more than one external service?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information from external services return to the performer's record?</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2: Psychological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Psychology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Performance psychology: mental skills, psychological readiness and preparation for performance under pressure, for individuals and teams.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performance psychology support, with what qualifications, and how do performers access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psychological preparation for high-pressure events planned and reviewed, for individuals and for teams?</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Psychology and Mental Health</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Mental health care: screening, assessment, treatment and onward referral for mental health conditions in performers; the response to acute crises is scored under 2.6.</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routine screening for mental health conditions, and what happens after a positive screen?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provides assessment and treatment, and how long do performers wait for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referral routes to specialist mental health services agreed and used?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Psychological Load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Psychological load: monitoring and management of stress, fatigue and burnout, and of psychological recovery; physical load is scored under 3.6.</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stress, fatigue and burnout monitored,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action follows when monitoring shows rising psychological load?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Psychosocial Environment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psychosocial environment: team culture, psychological safety, relationships, leadership climate and the social conditions in which performers live and work.</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team culture and psychological safety assessed, and how are the results acted 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relationships between performers, the coaches, commanders or managers around them, and support staff reviewed?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Cognitive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Cognitive performance: attention, perception, decision-making under pressure, cognitive load and brain health.</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attention, decision-making and cognitive load assessed or trained, and how?</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brain health monitored over time, with cognitive baselines where head impact is a risk?</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Welfare, Crisis and Safeguarding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Welfare support for performers and the immediate response to psychological crises, critical incidents and safeguarding concerns as they arise, with onward referral; the organisation's safeguarding framework is scored under 5.4.</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known route by which a performer in crisis, or a concern about one, reaches help at any hour?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critical incidents followed by a structured response and onward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individual welfare and safeguarding concerns recorded and followed through?</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3: Allied Health and Scientific</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Physiotherapy and Rehabilitation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Musculoskeletal assessment, treatment and progressive rehabilitation to agreed criteria; the decision to return to full performance is scored under 5.2.</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musculoskeletal assessment and treatment, and how quickly can performers be seen?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rehabilitation plans written, progressed against agreed criteria and reviewed?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Nutrition and Dietetics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Nutritional assessment, fuelling and hydration strategies, body composition, supplement use and the dietetic management of clinical conditions.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nutrition support, with what qualifications, and is it individual or group-based?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fuelling, hydration and supplement use assessed and governed, including the risk of low energy availability?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clinical conditions that need dietetic management identified and referred?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Strength, Conditioning and Exercise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Physical preparation: the design, prescription and delivery of strength, conditioning and exercise programmes, including the planning of training load; monitoring of the load received is scored under 3.6.</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designs and delivers physical preparation, with what qualifications?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programmes individualised, and is training load planned across the year or cycle?</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Physiology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Physiological assessment and support: aerobic and anaerobic capacity, metabolic and environmental physiology (heat, cold and altitude), and the interpretation of results for training and health; the testing programme as a whole is scored under 4.2.</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physiological assessment available, and are results interpreted and used in training and health decisions?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environmental demands such as heat, cold or altitude assessed and prepared for?</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Biomechanics and Movement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Movement and technique analysis, the physical demands of the task and the biomechanics of injury and its prevention.</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movement or technique analysed, by whom and with what methods?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physical demands of the task understood and used in preventing injury?</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Sleep, Recovery and Load Monitoring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Sleep, recovery practice and the monitoring of the training, operational or occupational load that performers receive and of their response to it; the prescription of load is scored under 3.3 and psychological load under 2.3.</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 load that performers receive measured, and is their response to it monitored?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sleep and recovery assessed, and what support follows a problem?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reviews the monitoring data, and how does it change practice?</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4: Technical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Data Systems and Performance Analytics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Data infrastructure and analytics: the platforms, integration, analysis and reporting that turn health and performance data into information for decisions; information governance is scored under 5.3.</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Where are health and performance data held, and can they be brought together?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analyses the data, and how are the results reported to those who make decisions?</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Testing and Assessment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testing programme across disciplines: selection and scheduling of standardised tests, their reliability and quality control, and benchmarking; the interpretation of results within each discipline is scored in that discipline's domain.</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schedule of standardised tests across disciplines, and is it followed?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reliability and quality control of the tests known, and are results benchmarked?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Technology and Digital Integration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Wearable, positional, biometric and digital health technologies: their selection, evaluation, deployment and integration into practice; the platforms that store and report their data are scored under 4.1.</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Which wearable, positional or digital health technologies are used, and were they evaluated before adoption?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they integrated into practice, and who is responsible for them?</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and Performance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In-house research and performance science capability: the people, skills and time to generate local evidence through applied studies, innovation projects and the evaluation of new methods; external research partnerships are scored under 7.2.</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have staff with the skills and protected time to run applied studies?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new methods evaluated locally before they are adopted?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Environment, Facility and Equipment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Facilities and equipment: training, operational and clinical spaces, and the provision, maintenance and safety of equipment; emergency equipment is scored under 1.3.</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training, operational and clinical spaces fit for purpose and safe?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equipment maintained, logged and replaced on schedule?</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Operational Logistics and Coordination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Operational logistics: travel, scheduling, deployments and multi-site operations, and the movement of staff, equipment and medicines between sites.</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travel, scheduling and multi-site work planned, and who coordinates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staff, equipment and medicines moved between sites, and is this governed?</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5: Clinical Practice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Governance and Clinical Accountability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governance: lines of clinical accountability, professional registration and scope of practice, policies, risk and incident management, and regulatory compliance; the governance and management of the wider organisation sit in the framework's outer boundary.</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a named clinical lead accountable for the service, and are staff registered and working within their scope of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policies current, and are risks and incidents recorded and reviewed?</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Decision-Making and Pathways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decision-making: shared decision-making with performers, inter-professional case review, care pathways across disciplines and decisions on return to full performance.</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involved in decisions about their care, and is this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complex cases reviewed across disciplines, and are care pathways written?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decisions on return to full performance made, and by whom?</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Documentation, Records and Information Governance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Records and information governance: clinical record systems, confidentiality, data protection compliance and the protocols for sharing information across disciplines and organisations.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clinical records complete, secure and kept to professional standards?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written protocol, with consent, for sharing information between disciplines and with coaches, commanders or managers?</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Safeguarding and Duty of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safeguarding framework: child and adult protection policies, designated safeguarding leads, consent procedures, reporting and escalation routes, and the duty of care owed to performers and staff; the response to individual concerns is scored under 2.6.</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child and adult safeguarding policies current, and is there a named designated lead?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consent procedures, and the routes for reporting and escalation, written and known to staff?</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6: Education and Development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Staff CPD and Professional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Continuing professional development of current staff: training plans, protected learning time and competency frameworks within each discipline and for working across disciplines.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each member of staff have a development plan and protected learning time?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competency framework within each discipline and for working across disciplines?</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Mentorship, Supervision and Workforce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and professional supervision and mentoring of current staff, and the development of individuals within their roles through them; the recruitment and training of future practitioners is scored under 6.4.</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 staff receive regular clinical or professional supervision, and is it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mentoring available, particularly for staff new to the setting?</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Education for Performers and Teams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Education of performers and of the coaches, commanders and managers around them: health literacy, performance education and support for informed self-management.</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and the coaches, commanders or managers around them, educated about health and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the education support performers to manage their own health?</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Workforce Pipeline and Training Capacity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pipeline of future practitioners: placements, internships and training posts, the capacity to host and teach them, and succession planning for key roles.</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host placements, internships or training posts, and does it have the capacity to teach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succession plan for key roles?</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Section 7: Research and Knowledge Translation (Overarching Aspect, applying across all four quadrants)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350"/>
        <w:gridCol w:w="4327"/>
        <w:gridCol w:w="837"/>
        <w:gridCol w:w="1047"/>
        <w:gridCol w:w="698"/>
        <w:gridCol w:w="907"/>
        <w:gridCol w:w="209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32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Need</w:t>
            </w:r>
          </w:p>
        </w:tc>
        <w:tc>
          <w:tcPr>
            <w:tcW w:type="dxa" w:w="10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Gap</w:t>
            </w:r>
          </w:p>
        </w:tc>
        <w:tc>
          <w:tcPr>
            <w:tcW w:type="dxa" w:w="90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Band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Notes</w:t>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7.1</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Service Audit and Quality Improvement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audit and quality improvement: audit against agreed standards, monitoring of outcomes and structured improvement of the service.</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practice audited against agreed standards, and are audits completed through to re-audit?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outcomes monitored and used to improve the service?</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7.2</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Engagement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Engagement with the wider research community: participation in external studies, academic partnerships, research ethics and governance, and the use of the service's data for research; in-house research capability is scored under 4.4.</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take part in external studies or hold academic partnerships?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research governed, with ethical approval and data sharing agreements in place?</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7.3</w:t>
            </w:r>
          </w:p>
        </w:tc>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Evidence-Informed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processes by which current best evidence is found, appraised and built into protocols and individual decisions.</w:t>
            </w:r>
          </w:p>
        </w:tc>
        <w:tc>
          <w:tcPr>
            <w:tcW w:type="dxa" w:w="432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is current evidence found and appraised,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protocols referenced, and are they updated when the evidence changes?</w:t>
            </w:r>
          </w:p>
        </w:tc>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900" w:hRule="atLeas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7.4</w:t>
            </w:r>
          </w:p>
        </w:tc>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Knowledge Dissemination and Translation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Sharing knowledge beyond the service: publication, conference presentation, external teaching and the translation of the service's learning into practice elsewhere.</w:t>
            </w:r>
          </w:p>
        </w:tc>
        <w:tc>
          <w:tcPr>
            <w:tcW w:type="dxa" w:w="432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share what it learns, through publication, presentation or external teaching?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its learning taken into practice in other services?</w:t>
            </w:r>
          </w:p>
        </w:tc>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0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90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iCs/>
          <w:sz w:val="20"/>
          <w:szCs w:val="20"/>
        </w:rPr>
        <w:t xml:space="preserve">Rate each domain from 0 to 3, or N/A. Gap is need minus provision; band is red for a gap of 2 or more, amber for 1 and green for 0 or less.</w:t>
      </w:r>
    </w:p>
    <w:p>
      <w:pPr>
        <w:sectPr>
          <w:headerReference w:type="default" r:id="rId9"/>
          <w:footerReference w:type="default" r:id="rId10"/>
          <w:pgSz w:w="16838" w:h="11906" w:orient="landscape"/>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Synthesis and summary</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350"/>
        <w:gridCol w:w="1256"/>
        <w:gridCol w:w="1256"/>
        <w:gridCol w:w="1256"/>
        <w:gridCol w:w="1256"/>
        <w:gridCol w:w="1396"/>
        <w:gridCol w:w="4188"/>
      </w:tblGrid>
      <w:tr>
        <w:trPr>
          <w:cantSplit/>
          <w:tblHeader/>
        </w:trPr>
        <w:tc>
          <w:tcPr>
            <w:tcW w:type="dxa" w:w="335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Section</w:t>
            </w:r>
          </w:p>
        </w:tc>
        <w:tc>
          <w:tcPr>
            <w:tcW w:type="dxa" w:w="125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Domains rated</w:t>
            </w:r>
          </w:p>
        </w:tc>
        <w:tc>
          <w:tcPr>
            <w:tcW w:type="dxa" w:w="125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Total need</w:t>
            </w:r>
          </w:p>
        </w:tc>
        <w:tc>
          <w:tcPr>
            <w:tcW w:type="dxa" w:w="125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Unmet need</w:t>
            </w:r>
          </w:p>
        </w:tc>
        <w:tc>
          <w:tcPr>
            <w:tcW w:type="dxa" w:w="125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Surplus</w:t>
            </w:r>
          </w:p>
        </w:tc>
        <w:tc>
          <w:tcPr>
            <w:tcW w:type="dxa" w:w="139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Priority rating</w:t>
            </w:r>
          </w:p>
        </w:tc>
        <w:tc>
          <w:tcPr>
            <w:tcW w:type="dxa" w:w="418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Key observations</w:t>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 Medical</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 Psychological</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 Allied Health and Scientific</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 Technical</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 Clinical Practice</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 Education and Development</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 Research and Knowledge Translation</w:t>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520" w:hRule="atLeast"/>
        </w:trPr>
        <w:tc>
          <w:tcPr>
            <w:tcW w:type="dxa" w:w="335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All sections</w:t>
            </w:r>
          </w:p>
        </w:tc>
        <w:tc>
          <w:tcPr>
            <w:tcW w:type="dxa" w:w="125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25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139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418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60" w:line="240" w:lineRule="auto"/>
        <w:jc w:val="left"/>
      </w:pPr>
      <w:r>
        <w:rPr>
          <w:rFonts w:ascii="Times New Roman" w:cs="Times New Roman" w:eastAsia="Times New Roman" w:hAnsi="Times New Roman"/>
          <w:b w:val="false"/>
          <w:bCs w:val="false"/>
          <w:i w:val="false"/>
          <w:iCs w:val="false"/>
          <w:sz w:val="20"/>
          <w:szCs w:val="20"/>
        </w:rPr>
        <w:t xml:space="preserve">For each section: domains rated counts the domains with both ratings entered, those rated not applicable being excluded from every count and total; total need sums their need ratings; unmet need sums their positive gaps; surplus sums provision beyond need, as a positive number, so that surplus never offsets a shortfall; and the priority rating is red if any domain is red, amber if any is amber and none red, and otherwise green, a section with no rated domain having no rating.</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Priority actions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2233"/>
        <w:gridCol w:w="6700"/>
        <w:gridCol w:w="2094"/>
        <w:gridCol w:w="2094"/>
      </w:tblGrid>
      <w:tr>
        <w:trPr>
          <w:cantSplit/>
          <w:tblHeader/>
        </w:trPr>
        <w:tc>
          <w:tcPr>
            <w:tcW w:type="dxa" w:w="8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No.</w:t>
            </w:r>
          </w:p>
        </w:tc>
        <w:tc>
          <w:tcPr>
            <w:tcW w:type="dxa" w:w="223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w:t>
            </w:r>
          </w:p>
        </w:tc>
        <w:tc>
          <w:tcPr>
            <w:tcW w:type="dxa" w:w="670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Action required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w:t>
            </w:r>
          </w:p>
        </w:tc>
        <w:tc>
          <w:tcPr>
            <w:tcW w:type="dxa" w:w="20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Timeline</w:t>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2233"/>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2"/>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r>
        <w:trPr>
          <w:cantSplit/>
          <w:trHeight w:val="600" w:hRule="atLeast"/>
        </w:trPr>
        <w:tc>
          <w:tcPr>
            <w:tcW w:type="dxa" w:w="8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223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670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0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Narrative conclusion and recommendations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3958"/>
      </w:tblGrid>
      <w:tr>
        <w:trPr>
          <w:cantSplit/>
          <w:trHeight w:val="3600" w:hRule="atLeast"/>
        </w:trPr>
        <w:tc>
          <w:tcPr>
            <w:tcW w:type="dxa" w:w="1395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Sign-off</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5583"/>
        <w:gridCol w:w="5583"/>
        <w:gridCol w:w="2792"/>
      </w:tblGrid>
      <w:tr>
        <w:trPr>
          <w:cantSplit/>
          <w:tblHeader/>
        </w:trPr>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Lead assessor name</w:t>
            </w:r>
          </w:p>
        </w:tc>
        <w:tc>
          <w:tcPr>
            <w:tcW w:type="dxa" w:w="55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Signature</w:t>
            </w:r>
          </w:p>
        </w:tc>
        <w:tc>
          <w:tcPr>
            <w:tcW w:type="dxa" w:w="279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Date</w:t>
            </w:r>
          </w:p>
        </w:tc>
      </w:tr>
      <w:tr>
        <w:trPr>
          <w:cantSplit/>
          <w:trHeight w:val="700" w:hRule="atLeast"/>
        </w:trPr>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55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c>
          <w:tcPr>
            <w:tcW w:type="dxa" w:w="279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
            </w:r>
          </w:p>
        </w:tc>
      </w:tr>
    </w:tbl>
    <w:p>
      <w:pPr>
        <w:keepNext w:val="false"/>
        <w:keepLines w:val="false"/>
        <w:spacing w:after="0" w:before="0" w:line="360" w:lineRule="auto"/>
        <w:jc w:val="both"/>
      </w:pPr>
    </w:p>
    <w:p>
      <w:pPr>
        <w:keepNext w:val="false"/>
        <w:keepLines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Licence: Creative Commons Attribution-NonCommercial-NoDerivatives 4.0 International (CC BY-NC-ND 4.0), https://creativecommons.org/licenses/by-nc-nd/4.0/. The form may be copied and shared unchanged, for non-commercial use, with attribution to STRIKERS Elite Sports Group | University of St Andrews; adapted versions may not be distributed.</w:t>
      </w:r>
    </w:p>
    <w:sectPr>
      <w:headerReference w:type="default" r:id="rId11"/>
      <w:footerReference w:type="default" r:id="rId12"/>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1.3,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1.3,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Form 1.3,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PM-NEAT Form 1.3: Gap Analysis (pilot version 0.2)</dc:title>
  <dc:creator>Symposion</dc:creator>
  <cp:lastModifiedBy>Symposion</cp:lastModifiedBy>
  <cp:revision>1</cp:revision>
  <dcterms:created xsi:type="dcterms:W3CDTF">2026-10-19T23:35:05.765Z</dcterms:created>
  <dcterms:modified xsi:type="dcterms:W3CDTF">2026-10-19T23:35:05.765Z</dcterms:modified>
</cp:coreProperties>
</file>

<file path=docProps/custom.xml><?xml version="1.0" encoding="utf-8"?>
<Properties xmlns="http://schemas.openxmlformats.org/officeDocument/2006/custom-properties" xmlns:vt="http://schemas.openxmlformats.org/officeDocument/2006/docPropsVTypes"/>
</file>