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keepLines w:val="false"/>
        <w:spacing w:after="0" w:before="0" w:line="360" w:lineRule="auto"/>
        <w:jc w:val="left"/>
      </w:pPr>
      <w:r>
        <w:rPr>
          <w:rFonts w:ascii="Times New Roman" w:cs="Times New Roman" w:eastAsia="Times New Roman" w:hAnsi="Times New Roman"/>
          <w:b w:val="false"/>
          <w:bCs w:val="false"/>
          <w:i/>
          <w:iCs/>
          <w:sz w:val="22"/>
          <w:szCs w:val="22"/>
        </w:rPr>
        <w:t xml:space="preserve">Pilot version 0.2: not yet validated</w:t>
      </w:r>
    </w:p>
    <w:p>
      <w:pPr>
        <w:keepNext w:val="false"/>
        <w:keepLines w:val="false"/>
        <w:spacing w:after="0" w:before="0" w:line="360" w:lineRule="auto"/>
        <w:jc w:val="left"/>
      </w:pPr>
      <w:r>
        <w:rPr>
          <w:rFonts w:ascii="Times New Roman" w:cs="Times New Roman" w:eastAsia="Times New Roman" w:hAnsi="Times New Roman"/>
          <w:b/>
          <w:bCs/>
          <w:i w:val="false"/>
          <w:iCs w:val="false"/>
          <w:sz w:val="28"/>
          <w:szCs w:val="28"/>
        </w:rPr>
        <w:t xml:space="preserve">Performance Medicine Operational Specification (PM-OpSpec)</w:t>
      </w:r>
    </w:p>
    <w:p>
      <w:pPr>
        <w:keepNext w:val="false"/>
        <w:keepLines w:val="false"/>
        <w:spacing w:after="0" w:before="0" w:line="360" w:lineRule="auto"/>
        <w:jc w:val="left"/>
      </w:pPr>
      <w:r>
        <w:rPr>
          <w:rFonts w:ascii="Times New Roman" w:cs="Times New Roman" w:eastAsia="Times New Roman" w:hAnsi="Times New Roman"/>
          <w:b/>
          <w:bCs/>
          <w:i w:val="false"/>
          <w:iCs w:val="false"/>
          <w:sz w:val="22"/>
          <w:szCs w:val="22"/>
        </w:rPr>
        <w:t xml:space="preserve">Form 2: Operational Specification</w:t>
      </w:r>
    </w:p>
    <w:p>
      <w:pPr>
        <w:keepNext w:val="false"/>
        <w:keepLines w:val="false"/>
        <w:spacing w:after="0" w:before="0" w:line="360" w:lineRule="auto"/>
        <w:jc w:val="left"/>
      </w:pPr>
      <w:r>
        <w:rPr>
          <w:rFonts w:ascii="Times New Roman" w:cs="Times New Roman" w:eastAsia="Times New Roman" w:hAnsi="Times New Roman"/>
          <w:b w:val="false"/>
          <w:bCs w:val="false"/>
          <w:i w:val="false"/>
          <w:iCs w:val="false"/>
          <w:sz w:val="22"/>
          <w:szCs w:val="22"/>
        </w:rPr>
        <w:t xml:space="preserve">STRIKERS Elite Sports Group | University of St Andrews</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About this document</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The Performance Medicine Operational Specification (PM-OpSpec) sets out the purpose, responsibilities and core functions of a performance medicine service, domain by domain. It is a live commissioning document and governance reference rather than a one-time audit, structured in nine operational sub-components, each of which is placed at one of four maturity levels: Not in place, Foundation, Established or Advanced. The levels describe the service; they are not scored or totalled.</w:t>
      </w:r>
    </w:p>
    <w:p>
      <w:pPr>
        <w:keepNext w:val="false"/>
        <w:keepLines w:val="false"/>
        <w:spacing w:after="0" w:before="0" w:line="360" w:lineRule="auto"/>
        <w:jc w:val="left"/>
      </w:pPr>
      <w:r>
        <w:rPr>
          <w:rFonts w:ascii="Times New Roman" w:cs="Times New Roman" w:eastAsia="Times New Roman" w:hAnsi="Times New Roman"/>
          <w:b w:val="false"/>
          <w:bCs w:val="false"/>
          <w:i w:val="false"/>
          <w:iCs w:val="false"/>
          <w:sz w:val="22"/>
          <w:szCs w:val="22"/>
        </w:rPr>
        <w:t xml:space="preserve">The document should be completed by the service's senior performance medicine lead in consultation with those who use and govern the service, held under version control, and reviewed at least annually or after any significant change. Where a PM-NEAT assessment has been completed, its ratings are carried into Section B and sub-component C3, where the lead can edit them; the web version of the tool (https://andrewhallorthosports.github.io/performance-medicine/tools/) does this automatically. Performers means the athletes, service personnel, clinicians or employees whose work places sustained physical, cognitive or psychological demands on them.</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Statutory, regulatory and professional requirements, including data protection, professional registration and safeguarding, apply at every level; the levels describe maturity beyond compliance with them.</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Version 0.2 is a pilot version and has not yet been validated.</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A: Setting and context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Organisation or service name</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Setting</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Sport  /  Military and tactical  /  Healthcare  /  Corporate and occupational  /  Other (specify)</w:t>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Sport or field</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Level of the service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International  /  National  /  Regional  /  Local (club, unit, department or site)  /  Individual</w:t>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Service lead or responsible person</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Document version and date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Review date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Purpose of the document</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Commissioning  /  Governance reference  /  Annual review  /  Service redesign  /  Other</w:t>
            </w:r>
          </w:p>
        </w:tc>
      </w:tr>
    </w:tbl>
    <w:p>
      <w:pPr>
        <w:keepNext w:val="false"/>
        <w:keepLines w:val="false"/>
        <w:spacing w:after="0" w:before="0" w:line="360" w:lineRule="auto"/>
        <w:jc w:val="both"/>
      </w:pPr>
    </w:p>
    <w:p>
      <w:pPr>
        <w:sectPr>
          <w:headerReference w:type="default" r:id="rId7"/>
          <w:footerReference w:type="default" r:id="rId8"/>
          <w:pgSz w:w="11906" w:h="16838" w:orient="portrait"/>
          <w:pgMar w:top="1440" w:right="1440" w:bottom="1440" w:left="1440" w:header="708" w:footer="708" w:gutter="0"/>
          <w:pgNumType/>
          <w:docGrid w:linePitch="360"/>
        </w:sectPr>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B: PMIF domain coverage</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For each domain, describe the provision in this service, confirm whether it is in scope, and note any local adaptation. Where a PM-NEAT Gap Analysis (Form 1.3) has been completed, enter its need and provision ratings; a domain rated not applicable is out of scope.</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71"/>
        <w:gridCol w:w="4606"/>
        <w:gridCol w:w="1117"/>
        <w:gridCol w:w="1117"/>
        <w:gridCol w:w="1256"/>
        <w:gridCol w:w="2791"/>
      </w:tblGrid>
      <w:tr>
        <w:trPr>
          <w:cantSplit/>
          <w:tblHeader/>
        </w:trPr>
        <w:tc>
          <w:tcPr>
            <w:tcW w:type="dxa" w:w="307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Section and domain</w:t>
            </w:r>
          </w:p>
        </w:tc>
        <w:tc>
          <w:tcPr>
            <w:tcW w:type="dxa" w:w="460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Description of provision in this service</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In scope?</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PM-NEAT need</w:t>
            </w:r>
          </w:p>
        </w:tc>
        <w:tc>
          <w:tcPr>
            <w:tcW w:type="dxa" w:w="125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PM-NEAT provision</w:t>
            </w:r>
          </w:p>
        </w:tc>
        <w:tc>
          <w:tcPr>
            <w:tcW w:type="dxa" w:w="279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 and local adaptation</w:t>
            </w:r>
          </w:p>
        </w:tc>
      </w:tr>
      <w:tr>
        <w:trPr>
          <w:cantSplit/>
        </w:trPr>
        <w:tc>
          <w:tcPr>
            <w:tcW w:type="dxa" w:w="13958"/>
            <w:gridSpan w:val="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1 Medical</w:t>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1.1 Sport and Exercise Medicine</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1.2 Lifestyle and Preventative Medicine</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1.3 Emergency and Acute Care</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1.4 Specialist Liaison and Referral</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13958"/>
            <w:gridSpan w:val="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2 Psychological</w:t>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2.1 Performance Psychology</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2.2 Clinical Psychology and Mental Health</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2.3 Psychological Load Management</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2.4 Psychosocial Environment</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2.5 Cognitive Performance</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2.6 Welfare, Crisis and Safeguarding</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13958"/>
            <w:gridSpan w:val="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3 Allied Health and Scientific</w:t>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3.1 Physiotherapy and Rehabilitation</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3.2 Nutrition and Dietetics</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3.3 Strength, Conditioning and Exercise Science</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3.4 Sport and Exercise Physiology</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3.5 Biomechanics and Movement Science</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3.6 Sleep, Recovery and Load Monitoring</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13958"/>
            <w:gridSpan w:val="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4 Technical</w:t>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4.1 Data Systems and Performance Analytics</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4.2 Performance Testing and Assessment</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4.3 Technology and Digital Integration</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4.4 Research and Performance Science</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4.5 Environment, Facility and Equipment Management</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4.6 Operational Logistics and Coordination</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13958"/>
            <w:gridSpan w:val="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5 Clinical Practice (Overarching Aspect)</w:t>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5.1 Governance and Clinical Accountability</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5.2 Clinical Decision-Making and Pathways</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5.3 Documentation, Records and Information Governance</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5.4 Safeguarding and Duty of Care</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13958"/>
            <w:gridSpan w:val="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6 Education and Development (Overarching Aspect)</w:t>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6.1 Staff CPD and Professional Development</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6.2 Mentorship, Supervision and Workforce Development</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6.3 Education for Performers and Teams</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6.4 Workforce Pipeline and Training Capacity</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13958"/>
            <w:gridSpan w:val="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7 Research and Knowledge Translation (Overarching Aspect)</w:t>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7.1 Service Audit and Quality Improvement</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7.2 Research Engagement</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7.3 Evidence-Informed Practice</w:t>
            </w:r>
          </w:p>
        </w:tc>
        <w:tc>
          <w:tcPr>
            <w:tcW w:type="dxa" w:w="460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60" w:hRule="atLeast"/>
        </w:trPr>
        <w:tc>
          <w:tcPr>
            <w:tcW w:type="dxa" w:w="307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7.4 Knowledge Dissemination and Translation</w:t>
            </w:r>
          </w:p>
        </w:tc>
        <w:tc>
          <w:tcPr>
            <w:tcW w:type="dxa" w:w="460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sectPr>
          <w:headerReference w:type="default" r:id="rId9"/>
          <w:footerReference w:type="default" r:id="rId10"/>
          <w:pgSz w:w="16838" w:h="11906" w:orient="landscape"/>
          <w:pgMar w:top="1440" w:right="1440" w:bottom="1440" w:left="1440" w:header="708" w:footer="708" w:gutter="0"/>
          <w:pgNumType/>
          <w:docGrid w:linePitch="360"/>
        </w:sectPr>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C: Operational structure</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Complete each of the nine sub-components and place it at one maturity level, using the reference table at the end of this section.</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C1 Purpose and scope</w:t>
      </w:r>
    </w:p>
    <w:p>
      <w:pPr>
        <w:keepNext/>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Define the overarching purpose of this Performance Medicine system and the boundaries of its scope within the organisation.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Mission statement</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Scope (what is included)</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Out of scope (explicit exclusions)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Current maturity level</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in place   /   Foundation   /   Established   /   Advanced</w:t>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C2 Population and user group</w:t>
      </w:r>
    </w:p>
    <w:p>
      <w:pPr>
        <w:keepNext/>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Define the performers and stakeholders served by this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Primary performer group</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Number of performers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Level and roles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Secondary user groups (staff, coaches, families)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Current maturity level</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in place   /   Foundation   /   Established   /   Advanced</w:t>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C3 Domain coverage</w:t>
      </w:r>
    </w:p>
    <w:p>
      <w:pPr>
        <w:keepNext/>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Summarise the overall domain coverage of the system. Detail is captured in Section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Domains with full provision</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Domains with partial or developing provision</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Domains with no provision</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Domains not currently in scope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Current maturity level</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in place   /   Foundation   /   Established   /   Advanced</w:t>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C4 Team structure</w:t>
      </w:r>
    </w:p>
    <w:p>
      <w:pPr>
        <w:keepNext/>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Define the composition, roles, and reporting structure of the Performance Medicine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Team lead role and title</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Core team members (role and WTE)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Associated / sessional staff</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Reporting structure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Inter-professional collaboration arrangements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Current maturity level</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in place   /   Foundation   /   Established   /   Advanced</w:t>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C5 Governance and accountability</w:t>
      </w:r>
    </w:p>
    <w:p>
      <w:pPr>
        <w:keepNext/>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Define clinical governance arrangements, accountability structures, and regulatory compliance.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Clinical governance lead</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Accountability framework</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Regulatory registrations and standards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Safeguarding and duty of care arrangements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Current maturity level</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in place   /   Foundation   /   Established   /   Advanced</w:t>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C6 Information systems</w:t>
      </w:r>
    </w:p>
    <w:p>
      <w:pPr>
        <w:keepNext/>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Define the data, record-keeping, and information governance arrangements.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Medical record system</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Performance data platforms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Information sharing protocols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GDPR / data protection compliance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Current maturity level</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in place   /   Foundation   /   Established   /   Advanced</w:t>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C7 Decision-making pathways</w:t>
      </w:r>
    </w:p>
    <w:p>
      <w:pPr>
        <w:keepNext/>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Define the key clinical and operational decision-making processes and pathways.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Return-to-performance pathway</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Referral pathways (internal and external)</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Emergency and acute care pathway</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Mental health and welfare pathway</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Shared decision-making arrangements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Current maturity level</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in place   /   Foundation   /   Established   /   Advanced</w:t>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C8 Evaluation expectations</w:t>
      </w:r>
    </w:p>
    <w:p>
      <w:pPr>
        <w:keepNext/>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Define how the system will be monitored, audited, and evaluated.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Key performance indicators</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Audit and quality improvement cycle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Outcome reporting arrangements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Review frequency</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Current maturity level</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in place   /   Foundation   /   Established   /   Advanced</w:t>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C9 Required resources and enabling conditions</w:t>
      </w:r>
    </w:p>
    <w:p>
      <w:pPr>
        <w:keepNext/>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Define the resource requirements and enabling conditions necessary for the system to function as specified.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Workforce requirements</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Facility and equipment requirements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Budget and financial resources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Technology and data infrastructure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Organisational enablers (leadership, culture)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Current maturity level</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in place   /   Foundation   /   Established   /   Advanced</w:t>
            </w:r>
          </w:p>
        </w:tc>
      </w:tr>
    </w:tbl>
    <w:p>
      <w:pPr>
        <w:sectPr>
          <w:headerReference w:type="default" r:id="rId11"/>
          <w:footerReference w:type="default" r:id="rId12"/>
          <w:pgSz w:w="11906" w:h="16838" w:orient="portrait"/>
          <w:pgMar w:top="1440" w:right="1440" w:bottom="1440" w:left="1440" w:header="708" w:footer="708" w:gutter="0"/>
          <w:pgNumType/>
          <w:docGrid w:linePitch="360"/>
        </w:sectPr>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Maturity model reference</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Use these descriptors to place each sub-component at one level. Statutory, regulatory and professional requirements, including data protection, professional registration and safeguarding, apply at every level; the levels describe maturity beyond compliance with them.</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233"/>
        <w:gridCol w:w="2931"/>
        <w:gridCol w:w="2931"/>
        <w:gridCol w:w="2931"/>
        <w:gridCol w:w="2932"/>
      </w:tblGrid>
      <w:tr>
        <w:trPr>
          <w:cantSplit/>
          <w:tblHeader/>
        </w:trPr>
        <w:tc>
          <w:tcPr>
            <w:tcW w:type="dxa" w:w="223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Sub-component</w:t>
            </w:r>
          </w:p>
        </w:tc>
        <w:tc>
          <w:tcPr>
            <w:tcW w:type="dxa" w:w="293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 in place</w:t>
            </w:r>
          </w:p>
        </w:tc>
        <w:tc>
          <w:tcPr>
            <w:tcW w:type="dxa" w:w="293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Foundation</w:t>
            </w:r>
          </w:p>
        </w:tc>
        <w:tc>
          <w:tcPr>
            <w:tcW w:type="dxa" w:w="293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Established</w:t>
            </w:r>
          </w:p>
        </w:tc>
        <w:tc>
          <w:tcPr>
            <w:tcW w:type="dxa" w:w="2932"/>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Advanced</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C1 Purpose and scope</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purpose or scope has been agreed for the service</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Informally understood; not documented</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Documented purpose; clear scope boundaries; known to key staff</w:t>
            </w:r>
          </w:p>
        </w:tc>
        <w:tc>
          <w:tcPr>
            <w:tcW w:type="dxa" w:w="293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Embedded in strategy; regularly reviewed; communicated across organisation</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C2 Population and user group</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The performers the service is for have not been identified</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Informally known; not formally defined</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Defined population; roles documented; needs assessment completed</w:t>
            </w:r>
          </w:p>
        </w:tc>
        <w:tc>
          <w:tcPr>
            <w:tcW w:type="dxa" w:w="293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Dynamic population profiling; stratified needs; reviewed annually</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C3 Domain coverage</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domain is provided for in a planned way</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Ad hoc provision; significant gaps</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Core domains covered; gaps identified and planned for</w:t>
            </w:r>
          </w:p>
        </w:tc>
        <w:tc>
          <w:tcPr>
            <w:tcW w:type="dxa" w:w="293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Comprehensive coverage; all in-scope PMIF domains addressed; gaps monitored</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C4 Team structure</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staff hold a Performance Medicine role</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Single or informal; no defined structure</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Defined roles; reporting lines established; MDT meetings in place</w:t>
            </w:r>
          </w:p>
        </w:tc>
        <w:tc>
          <w:tcPr>
            <w:tcW w:type="dxa" w:w="293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Full interdisciplinary team; formalised governance; succession planning</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C5 Governance and accountability</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one is accountable for the clinical care provided</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formal governance; ad hoc accountability</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Clinical lead identified; basic governance in place; policies documented</w:t>
            </w:r>
          </w:p>
        </w:tc>
        <w:tc>
          <w:tcPr>
            <w:tcW w:type="dxa" w:w="293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Full governance framework; external audit; regular review against professional standards</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C6 Information systems</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records of performers' health or performance are kept</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Paper-based or informal; no integration</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Electronic records in use; basic data sharing; information governance documented</w:t>
            </w:r>
          </w:p>
        </w:tc>
        <w:tc>
          <w:tcPr>
            <w:tcW w:type="dxa" w:w="293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Integrated data ecosystem; real-time dashboards; information governance audited</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C7 Decision-making pathways</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pathway exists, and decisions rest with whoever is present</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Informal; case-by-case; not documented</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Key pathways documented; MDT decision-making; referral pathways clear</w:t>
            </w:r>
          </w:p>
        </w:tc>
        <w:tc>
          <w:tcPr>
            <w:tcW w:type="dxa" w:w="293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All pathways formalised; shared decision-making embedded; regular review</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C8 Evaluation expectations</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one is responsible for evaluating the service</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formal evaluation; outcomes not tracked</w:t>
            </w:r>
          </w:p>
        </w:tc>
        <w:tc>
          <w:tcPr>
            <w:tcW w:type="dxa" w:w="293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KPIs defined; annual audit; basic outcome reporting</w:t>
            </w:r>
          </w:p>
        </w:tc>
        <w:tc>
          <w:tcPr>
            <w:tcW w:type="dxa" w:w="293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Continuous evaluation; external benchmarking; published outcomes</w:t>
            </w:r>
          </w:p>
        </w:tc>
      </w:tr>
      <w:tr>
        <w:trPr>
          <w:cantSplit/>
        </w:trPr>
        <w:tc>
          <w:tcPr>
            <w:tcW w:type="dxa" w:w="223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C9 Required resources and enabling conditions</w:t>
            </w:r>
          </w:p>
        </w:tc>
        <w:tc>
          <w:tcPr>
            <w:tcW w:type="dxa" w:w="293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resources are allocated to the service</w:t>
            </w:r>
          </w:p>
        </w:tc>
        <w:tc>
          <w:tcPr>
            <w:tcW w:type="dxa" w:w="293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Under-resourced; significant gaps; ad hoc</w:t>
            </w:r>
          </w:p>
        </w:tc>
        <w:tc>
          <w:tcPr>
            <w:tcW w:type="dxa" w:w="293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Core resources in place; budget allocated; enabling conditions identified</w:t>
            </w:r>
          </w:p>
        </w:tc>
        <w:tc>
          <w:tcPr>
            <w:tcW w:type="dxa" w:w="2932"/>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Fully resourced; strategic investment; enabling conditions optimised</w:t>
            </w:r>
          </w:p>
        </w:tc>
      </w:tr>
    </w:tbl>
    <w:p>
      <w:pPr>
        <w:sectPr>
          <w:headerReference w:type="default" r:id="rId13"/>
          <w:footerReference w:type="default" r:id="rId14"/>
          <w:pgSz w:w="16838" w:h="11906" w:orient="landscape"/>
          <w:pgMar w:top="1440" w:right="1440" w:bottom="1440" w:left="1440" w:header="708" w:footer="708" w:gutter="0"/>
          <w:pgNumType/>
          <w:docGrid w:linePitch="360"/>
        </w:sectPr>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D: Document control and sign-off</w:t>
      </w: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D1 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610"/>
        <w:gridCol w:w="2708"/>
      </w:tblGrid>
      <w:tr>
        <w:trPr>
          <w:cantSplit/>
          <w:tblHeader/>
        </w:trPr>
        <w:tc>
          <w:tcPr>
            <w:tcW w:type="dxa" w:w="270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Field</w:t>
            </w:r>
          </w:p>
        </w:tc>
        <w:tc>
          <w:tcPr>
            <w:tcW w:type="dxa" w:w="361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Entry</w:t>
            </w:r>
          </w:p>
        </w:tc>
        <w:tc>
          <w:tcPr>
            <w:tcW w:type="dxa" w:w="270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480" w:hRule="atLeast"/>
        </w:trPr>
        <w:tc>
          <w:tcPr>
            <w:tcW w:type="dxa" w:w="27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Document owner</w:t>
            </w:r>
          </w:p>
        </w:tc>
        <w:tc>
          <w:tcPr>
            <w:tcW w:type="dxa" w:w="361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27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Date of issue</w:t>
            </w:r>
          </w:p>
        </w:tc>
        <w:tc>
          <w:tcPr>
            <w:tcW w:type="dxa" w:w="361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27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Version</w:t>
            </w:r>
          </w:p>
        </w:tc>
        <w:tc>
          <w:tcPr>
            <w:tcW w:type="dxa" w:w="361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27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Approved by</w:t>
            </w:r>
          </w:p>
        </w:tc>
        <w:tc>
          <w:tcPr>
            <w:tcW w:type="dxa" w:w="361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27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Next review date</w:t>
            </w:r>
          </w:p>
        </w:tc>
        <w:tc>
          <w:tcPr>
            <w:tcW w:type="dxa" w:w="361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0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270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Related documents</w:t>
            </w:r>
          </w:p>
        </w:tc>
        <w:tc>
          <w:tcPr>
            <w:tcW w:type="dxa" w:w="361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0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D2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3159"/>
        <w:gridCol w:w="1805"/>
      </w:tblGrid>
      <w:tr>
        <w:trPr>
          <w:cantSplit/>
          <w:tblHeader/>
        </w:trPr>
        <w:tc>
          <w:tcPr>
            <w:tcW w:type="dxa" w:w="4062"/>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Name and role</w:t>
            </w:r>
          </w:p>
        </w:tc>
        <w:tc>
          <w:tcPr>
            <w:tcW w:type="dxa" w:w="315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Signature</w:t>
            </w:r>
          </w:p>
        </w:tc>
        <w:tc>
          <w:tcPr>
            <w:tcW w:type="dxa" w:w="180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Date</w:t>
            </w:r>
          </w:p>
        </w:tc>
      </w:tr>
      <w:tr>
        <w:trPr>
          <w:cantSplit/>
          <w:trHeight w:val="600" w:hRule="atLeast"/>
        </w:trPr>
        <w:tc>
          <w:tcPr>
            <w:tcW w:type="dxa" w:w="4062"/>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Performance medicine lead</w:t>
            </w:r>
          </w:p>
        </w:tc>
        <w:tc>
          <w:tcPr>
            <w:tcW w:type="dxa" w:w="315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80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4062"/>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Organisational lead</w:t>
            </w:r>
          </w:p>
        </w:tc>
        <w:tc>
          <w:tcPr>
            <w:tcW w:type="dxa" w:w="3159"/>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805"/>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4062"/>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Clinical governance lead</w:t>
            </w:r>
          </w:p>
        </w:tc>
        <w:tc>
          <w:tcPr>
            <w:tcW w:type="dxa" w:w="315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val="false"/>
        <w:keepLines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Licence: Creative Commons Attribution-NonCommercial-NoDerivatives 4.0 International (CC BY-NC-ND 4.0), https://creativecommons.org/licenses/by-nc-nd/4.0/. The document may be copied and shared unchanged, for non-commercial use, with attribution to STRIKERS Elite Sports Group | University of St Andrews; adapted versions may not be distributed.</w:t>
      </w:r>
    </w:p>
    <w:sectPr>
      <w:headerReference w:type="default" r:id="rId15"/>
      <w:footerReference w:type="default" r:id="rId1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PM-OpSpec Form 2,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PM-OpSpec Form 2,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PM-OpSpec Form 2,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PM-OpSpec Form 2,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PM-OpSpec Form 2,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PM-OpSpec Form 2: Operational Specification (pilot version 0.2)</dc:title>
  <dc:creator>Symposion</dc:creator>
  <cp:lastModifiedBy>Symposion</cp:lastModifiedBy>
  <cp:revision>1</cp:revision>
  <dcterms:created xsi:type="dcterms:W3CDTF">2026-10-19T23:35:05.781Z</dcterms:created>
  <dcterms:modified xsi:type="dcterms:W3CDTF">2026-10-19T23:35:05.781Z</dcterms:modified>
</cp:coreProperties>
</file>

<file path=docProps/custom.xml><?xml version="1.0" encoding="utf-8"?>
<Properties xmlns="http://schemas.openxmlformats.org/officeDocument/2006/custom-properties" xmlns:vt="http://schemas.openxmlformats.org/officeDocument/2006/docPropsVTypes"/>
</file>