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0" w:before="0" w:line="360" w:lineRule="auto"/>
        <w:jc w:val="left"/>
      </w:pPr>
      <w:r>
        <w:rPr>
          <w:rFonts w:ascii="Times New Roman" w:cs="Times New Roman" w:eastAsia="Times New Roman" w:hAnsi="Times New Roman"/>
          <w:b w:val="false"/>
          <w:bCs w:val="false"/>
          <w:i/>
          <w:iCs/>
          <w:sz w:val="22"/>
          <w:szCs w:val="22"/>
        </w:rPr>
        <w:t xml:space="preserve">Pilot version 0.2: not yet validated</w:t>
      </w:r>
    </w:p>
    <w:p>
      <w:pPr>
        <w:keepNext w:val="false"/>
        <w:keepLines w:val="false"/>
        <w:spacing w:after="0" w:before="0" w:line="360" w:lineRule="auto"/>
        <w:jc w:val="left"/>
      </w:pPr>
      <w:r>
        <w:rPr>
          <w:rFonts w:ascii="Times New Roman" w:cs="Times New Roman" w:eastAsia="Times New Roman" w:hAnsi="Times New Roman"/>
          <w:b/>
          <w:bCs/>
          <w:i w:val="false"/>
          <w:iCs w:val="false"/>
          <w:sz w:val="28"/>
          <w:szCs w:val="28"/>
        </w:rPr>
        <w:t xml:space="preserve">PM-NEAT and PM-OpSpec</w:t>
      </w:r>
    </w:p>
    <w:p>
      <w:pPr>
        <w:keepNext w:val="false"/>
        <w:keepLines w:val="false"/>
        <w:spacing w:after="0" w:before="0" w:line="360" w:lineRule="auto"/>
        <w:jc w:val="left"/>
      </w:pPr>
      <w:r>
        <w:rPr>
          <w:rFonts w:ascii="Times New Roman" w:cs="Times New Roman" w:eastAsia="Times New Roman" w:hAnsi="Times New Roman"/>
          <w:b/>
          <w:bCs/>
          <w:i w:val="false"/>
          <w:iCs w:val="false"/>
          <w:sz w:val="22"/>
          <w:szCs w:val="22"/>
        </w:rPr>
        <w:t xml:space="preserve">User guide for pilot version 0.2</w:t>
      </w:r>
    </w:p>
    <w:p>
      <w:pPr>
        <w:keepNext w:val="false"/>
        <w:keepLines w:val="false"/>
        <w:spacing w:after="0" w:before="0" w:line="360" w:lineRule="auto"/>
        <w:jc w:val="left"/>
      </w:pPr>
      <w:r>
        <w:rPr>
          <w:rFonts w:ascii="Times New Roman" w:cs="Times New Roman" w:eastAsia="Times New Roman" w:hAnsi="Times New Roman"/>
          <w:b w:val="false"/>
          <w:bCs w:val="false"/>
          <w:i w:val="false"/>
          <w:iCs w:val="false"/>
          <w:sz w:val="22"/>
          <w:szCs w:val="22"/>
        </w:rPr>
        <w:t xml:space="preserve">STRIKERS Elite Sports Group | University of St Andrews</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1 Purpose of the tools</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The Performance Medicine Needs Evaluation and Assessment Tool (PM-NEAT) and the Performance Medicine Operational Specification (PM-OpSpec) are built on the 34 domains of the Performance Medicine Integrative Framework (PMIF). The framework groups the work of a performance medicine service into four quadrants, Medical, Psychological, Allied Health and Scientific, and Technical, and three Overarching Aspects that apply across all four: Clinical Practice, Education and Development, and Research and Knowledge Translation. PM-NEAT establishes what a setting requires in each domain, how well current provision meets it and where the gap lies. PM-OpSpec then specifies how the service that meets those needs is organised, governed and resourced, so that the two tools carry a service from assessment to specification.</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The tools are written for four settings: sport, military and tactical, healthcare, and corporate and occupational. Performers means the athletes, service personnel, clinicians or employees whose work places sustained physical, cognitive or psychological demands on them. Where a domain concerns the coaches, commanders or managers around them, it names them.</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Version 0.2 is a pilot version and has not yet been validated, since its content validity and inter-rater reliability are to be assessed in the pilot study that the accompanying protocol describes. Its ratings should therefore be read as a structured description of a service rather than a validated measure of its quality.</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2 Which form to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444"/>
        <w:gridCol w:w="5235"/>
      </w:tblGrid>
      <w:tr>
        <w:trPr>
          <w:cantSplit/>
          <w:tblHeader/>
        </w:trPr>
        <w:tc>
          <w:tcPr>
            <w:tcW w:type="dxa" w:w="234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Form</w:t>
            </w:r>
          </w:p>
        </w:tc>
        <w:tc>
          <w:tcPr>
            <w:tcW w:type="dxa" w:w="144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Rates</w:t>
            </w:r>
          </w:p>
        </w:tc>
        <w:tc>
          <w:tcPr>
            <w:tcW w:type="dxa" w:w="523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Use</w:t>
            </w:r>
          </w:p>
        </w:tc>
      </w:tr>
      <w:tr>
        <w:trPr>
          <w:cantSplit/>
        </w:trPr>
        <w:tc>
          <w:tcPr>
            <w:tcW w:type="dxa" w:w="234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PM-NEAT Form 1.1, Needs Evaluation</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Need</w:t>
            </w:r>
          </w:p>
        </w:tc>
        <w:tc>
          <w:tcPr>
            <w:tcW w:type="dxa" w:w="523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prospective: what does this setting require? Use before service design or commissioning.</w:t>
            </w:r>
          </w:p>
        </w:tc>
      </w:tr>
      <w:tr>
        <w:trPr>
          <w:cantSplit/>
        </w:trPr>
        <w:tc>
          <w:tcPr>
            <w:tcW w:type="dxa" w:w="234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PM-NEAT Form 1.2, Service Assessment</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Provision</w:t>
            </w:r>
          </w:p>
        </w:tc>
        <w:tc>
          <w:tcPr>
            <w:tcW w:type="dxa" w:w="523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evaluative: how well does current provision meet need? Use to audit an existing service.</w:t>
            </w:r>
          </w:p>
        </w:tc>
      </w:tr>
      <w:tr>
        <w:trPr>
          <w:cantSplit/>
        </w:trPr>
        <w:tc>
          <w:tcPr>
            <w:tcW w:type="dxa" w:w="234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PM-NEAT Form 1.3, Gap Analysis</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Need and provision</w:t>
            </w:r>
          </w:p>
        </w:tc>
        <w:tc>
          <w:tcPr>
            <w:tcW w:type="dxa" w:w="523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combined: both functions completed together, with the gap computed as need minus provision. Use when reviewing and redesigning a service.</w:t>
            </w:r>
          </w:p>
        </w:tc>
      </w:tr>
      <w:tr>
        <w:trPr>
          <w:cantSplit/>
        </w:trPr>
        <w:tc>
          <w:tcPr>
            <w:tcW w:type="dxa" w:w="234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PM-OpSpec Form 2, Operational Specification</w:t>
            </w:r>
          </w:p>
        </w:tc>
        <w:tc>
          <w:tcPr>
            <w:tcW w:type="dxa" w:w="144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Maturity of nine sub-components</w:t>
            </w:r>
          </w:p>
        </w:tc>
        <w:tc>
          <w:tcPr>
            <w:tcW w:type="dxa" w:w="523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Specification and governance reference for the service, completed by its senior lead and reviewed at least annually; Section B and sub-component C3 can be carried over from a completed PM-NEAT.</w:t>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3 Before you start</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A PM-NEAT assessment should be led by someone who knows the setting and its performers well. It should draw on the people who deliver and use the service: clinical and science staff, the coaches, commanders or managers responsible for the performers and, where appropriate, performers themselves. The orientation section records who assessed the service, for whom and why, so that a later assessment can be compared with it.</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The prompts beneath each domain describe the evidence on which a rating should rest, such as written plans, pathways, staffing, records and audits. An assessor should look for that evidence rather than rate from impression. Where evidence is missing, the notes for the domain should say so, because a reader of the report will use them to judge how far the rating can be relied on.</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4 Rating need and provision</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Need and provision are each rated from 0 to 3 against the level descriptors below, which apply in every setting. A domain is rated not applicable only where it does not apply to the setting at all, so a domain that applies but needs nothing at present is rated 0 for need. A domain rated not applicable for need is not applicable for provision, and the reverse, and it has no gap and is excluded from every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986"/>
        <w:gridCol w:w="6137"/>
      </w:tblGrid>
      <w:tr>
        <w:trPr>
          <w:cantSplit/>
          <w:tblHeader/>
        </w:trPr>
        <w:tc>
          <w:tcPr>
            <w:tcW w:type="dxa" w:w="90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Rating</w:t>
            </w:r>
          </w:p>
        </w:tc>
        <w:tc>
          <w:tcPr>
            <w:tcW w:type="dxa" w:w="1986"/>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Label</w:t>
            </w:r>
          </w:p>
        </w:tc>
        <w:tc>
          <w:tcPr>
            <w:tcW w:type="dxa" w:w="613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Descriptor</w:t>
            </w:r>
          </w:p>
        </w:tc>
      </w:tr>
      <w:tr>
        <w:trPr>
          <w:cantSplit/>
        </w:trPr>
        <w:tc>
          <w:tcPr>
            <w:tcW w:type="dxa" w:w="9026"/>
            <w:gridSpan w:val="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Need</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N/A</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applicable</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The domain does not apply to this setting; it is excluded from every total.</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0</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current need</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The domain applies to this setting, but no provision is required at present.</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Low need</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An occasional or minor requirement that general staff can meet.</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Moderate need</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 regular requirement that calls for planned provision.</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High need</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 frequent, critical or high-risk requirement that calls for dedicated specialist provision.</w:t>
            </w:r>
          </w:p>
        </w:tc>
      </w:tr>
      <w:tr>
        <w:trPr>
          <w:cantSplit/>
        </w:trPr>
        <w:tc>
          <w:tcPr>
            <w:tcW w:type="dxa" w:w="9026"/>
            <w:gridSpan w:val="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N/A</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applicable</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The domain does not apply to this setting; it is excluded from every total.</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0</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None</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provision.</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Limited or ad hoc</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Occasional or informal provision, met by general staff or dependent on particular individuals.</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Planned or developing</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Planned, regular provision without dedicated specialist input, or specialist provision that is not yet delivered consistently.</w:t>
            </w:r>
          </w:p>
        </w:tc>
      </w:tr>
      <w:tr>
        <w:trPr>
          <w:cantSplit/>
        </w:trPr>
        <w:tc>
          <w:tcPr>
            <w:tcW w:type="dxa" w:w="90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98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Established</w:t>
            </w:r>
          </w:p>
        </w:tc>
        <w:tc>
          <w:tcPr>
            <w:tcW w:type="dxa" w:w="613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Dedicated specialist provision that is planned, consistent and documented, with named responsibility.</w:t>
            </w:r>
          </w:p>
        </w:tc>
      </w:tr>
    </w:tbl>
    <w:p>
      <w:pPr>
        <w:keepNext w:val="false"/>
        <w:keepLines w:val="false"/>
        <w:spacing w:after="0" w:before="120" w:line="360" w:lineRule="auto"/>
        <w:jc w:val="both"/>
      </w:pPr>
      <w:r>
        <w:rPr>
          <w:rFonts w:ascii="Times New Roman" w:cs="Times New Roman" w:eastAsia="Times New Roman" w:hAnsi="Times New Roman"/>
          <w:b w:val="false"/>
          <w:bCs w:val="false"/>
          <w:i w:val="false"/>
          <w:iCs w:val="false"/>
          <w:sz w:val="22"/>
          <w:szCs w:val="22"/>
        </w:rPr>
        <w:t xml:space="preserve">Each domain's description states what it covers and, where a neighbouring domain could claim the same topic, where that topic is scored instead, so that each element of provision is rated in one domain only. Emergency care, for example, is rated under 1.3 rather than 1.1, while the organisation's safeguarding framework is rated under 5.4 and the response to an individual concern under 2.6.</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5 How the summary is calculated</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In Form 1.3 the gap of each domain is need minus provision, and each gap falls into one of three bands: red for a gap of 2 or more (priority action), amber for a gap of 1 (development) and green for a gap of 0 or less (met or exceeded). A domain counts as rated once every rating the form uses has been entered, and a domain rated not applicable is excluded from every count and total. For each of the seven sections the summary reports the number of domains rated, the total need, the unmet need, which is the sum of the positive gaps, and the surplus, which is the sum of provision beyond need. Surplus is reported as a positive number and never offsets a shortfall elsewhere, since a service that exceeds its need in one domain is not thereby meeting its need in another. Each section takes the priority rating of its worst domain: red if any domain is red, amber if any is amber and none red, and otherwise green, while a section with no rated domain has no rating.</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As an illustration, a section of four domains rated need 3, 2, 1 and not applicable, with provision 1, 2, 3 and not applicable, has three domains rated and a total need of 6. Its gaps are 2, 0 and minus 2, giving an unmet need of 2, a surplus of 2 and a red priority rating. Form 1.1 reports total need and Form 1.2 total provision for each section, since a gap needs both ratings. The workbook and the web version calculate every total, whereas the Word forms leave them to the assessor, who applies the same rules.</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6 Completing PM-OpSpec</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PM-OpSpec has four sections: Section A records the setting and context, Section B the provision in each of the 34 domains and whether it is in scope, Section C the nine operational sub-components, from purpose and scope to the resources the service requires, and Section D document control and sign-off. Each sub-component is placed at one of four maturity levels, Not in place, Foundation, Established and Advanced, using the descriptors in the reference table, and the levels describe the service without being scored or totalled. Statutory, regulatory and professional requirements, including data protection, professional registration and safeguarding, apply at every level; the levels describe maturity beyond compliance with them.</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Where a PM-NEAT Gap Analysis has been completed, its ratings are carried into Section B, a domain rated not applicable being out of scope. They are also carried into sub-component C3, which lists the domains with full provision (green, with some provision), with partial or developing provision (amber or red, with some provision), with no provision although there is a need, and not in scope; a domain that needs nothing and has nothing appears in none of the lists. The lead can then edit every entry, because the specification records decisions that the ratings inform but do not make.</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7 The web version, files and privacy</w:t>
      </w:r>
    </w:p>
    <w:p>
      <w:pPr>
        <w:keepNext w:val="false"/>
        <w:keepLines w:val="false"/>
        <w:spacing w:after="0" w:before="0" w:line="360" w:lineRule="auto"/>
        <w:jc w:val="left"/>
      </w:pPr>
      <w:r>
        <w:rPr>
          <w:rFonts w:ascii="Times New Roman" w:cs="Times New Roman" w:eastAsia="Times New Roman" w:hAnsi="Times New Roman"/>
          <w:b w:val="false"/>
          <w:bCs w:val="false"/>
          <w:i w:val="false"/>
          <w:iCs w:val="false"/>
          <w:sz w:val="22"/>
          <w:szCs w:val="22"/>
        </w:rPr>
        <w:t xml:space="preserve">The web version (https://andrewhallorthosports.github.io/performance-medicine/tools/) presents the same forms, shows each domain's example for the setting chosen and calculates the gap, band and every total as ratings are entered. Nothing entered is sent anywhere or kept by the browser between sessions, so work is kept by saving a file, which can be opened again later on any computer. A report can be printed either as a summary with the domain table, priority actions and sign-off, or as the full form exactly as completed. The page loads no analytics and no external typefaces, so it makes no request to any other site once it has opened.</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A saved file names the organisation and the assessors and may describe the health services of identifiable people. It should therefore be stored and sent with the care given to any confidential service record and, within a study, only by the route that the study's protocol sets out.</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8 Status, licence and attribution</w:t>
      </w:r>
    </w:p>
    <w:p>
      <w:pPr>
        <w:keepNext w:val="false"/>
        <w:keepLines w:val="false"/>
        <w:spacing w:after="0" w:before="0" w:line="360" w:lineRule="auto"/>
        <w:jc w:val="left"/>
      </w:pPr>
      <w:r>
        <w:rPr>
          <w:rFonts w:ascii="Times New Roman" w:cs="Times New Roman" w:eastAsia="Times New Roman" w:hAnsi="Times New Roman"/>
          <w:b w:val="false"/>
          <w:bCs w:val="false"/>
          <w:i w:val="false"/>
          <w:iCs w:val="false"/>
          <w:sz w:val="22"/>
          <w:szCs w:val="22"/>
        </w:rPr>
        <w:t xml:space="preserve">Pilot version 0.2: not yet validated. The forms, workbook, web page and this guide are made available under the Creative Commons Attribution-NonCommercial-NoDerivatives 4.0 International licence (CC BY-NC-ND 4.0, https://creativecommons.org/licenses/by-nc-nd/4.0/). They may be copied and shared unchanged, for non-commercial use, with attribution to STRIKERS Elite Sports Group | University of St Andrews, but adapted versions may not be distributed.</w:t>
      </w:r>
    </w:p>
    <w:p>
      <w:pPr>
        <w:sectPr>
          <w:headerReference w:type="default" r:id="rId7"/>
          <w:footerReference w:type="default" r:id="rId8"/>
          <w:pgSz w:w="11906" w:h="16838" w:orient="portrait"/>
          <w:pgMar w:top="1440" w:right="1440" w:bottom="1440" w:left="1440" w:header="708" w:footer="708" w:gutter="0"/>
          <w:pgNumType/>
          <w:docGrid w:linePitch="360"/>
        </w:sectPr>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Appendix: guidance for each domain</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For each domain the table gives its description, the prompts on the evidence to look for and an example of the domain in each of the four settings. The examples illustrate the domain; they do not define it, and describe no named organisation.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769"/>
        <w:gridCol w:w="4187"/>
        <w:gridCol w:w="5304"/>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76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18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530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Examples by setting</w:t>
            </w:r>
          </w:p>
        </w:tc>
      </w:tr>
      <w:tr>
        <w:trPr>
          <w:cantSplit/>
        </w:trPr>
        <w:tc>
          <w:tcPr>
            <w:tcW w:type="dxa" w:w="13958"/>
            <w:gridSpan w:val="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Section 1: Medical</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1.1</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and Exercise Medicine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Medical care of performers: diagnosis and medical management of injury and illness, medical screening, prescribing and oversight of health across training, competition, operations or work; emergency care is scored under 1.3 and rehabilitation under 3.1.</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medical care to performers, with what qualifications, and how much of their time is committed to this population?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documented medical screening process, and are its results acted on and reviewed?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holds medical oversight across training, competition, operations or work, and how are injury and illness recorded?</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 team doctor runs pre-season medical screening and manages injury and illness through the season.</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A unit medical officer screens recruits, manages training injuries and certifies medical fitness for deployment.</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An occupational physician manages injury and illness in theatre and emergency department staff.</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An occupational physician assesses fitness for work and manages injury and illness in staff with physically demanding roles.</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1.2</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Lifestyle and Preventative Medicine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Health promotion and the prevention of chronic disease: assessment of and intervention on physical activity, diet, sleep, stress, substance use and social connection, and screening for long-term risk; specialist nutrition and sleep provision for performance are scored under 3.2 and 3.6.</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lifestyle risk (physical activity, diet, sleep, stress, substance use and social connection) assessed in a structured way, and how often?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What intervention or referral follows when a risk is identified?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performers' long-term health, beyond the current season, posting or role, considered in planning?</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Athletes approaching retirement are screened for cardiovascular and metabolic risk and advised on activity after competition.</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Service personnel are offered smoking cessation, alcohol advice and cardiovascular risk checks.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Shift-working nurses are offered health checks and support with diet, activity and alcohol.</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Employees are offered health checks with follow-up of blood pressure, activity and weight.</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1.3</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Emergency and Acute Care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Emergency action planning and the immediate care of acute injury and illness wherever performers train, compete, deploy or work, with the staff training, equipment and drills that it requires.</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a written emergency action plan for each venue or site, and when was it last rehearsed?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staff trained to the level of emergency care the setting requires, with training in date and equipment checked?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quickly can a performer with a serious acute injury or illness reach definitive care?</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The pitch-side team rehearses its plan for cardiac arrest and spinal injury before each season.</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Combat medical technicians hold current trauma training and carry checked equipment on exercise.</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A hospital has a plan for staff who collapse or are injured at work, including those working alone or at night.</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Sites with heavy machinery or lone workers have trained first aiders, defibrillators and a rehearsed response plan.</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1.4</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Specialist Liaison and Referral</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Access to care beyond the service: referral pathways to external specialists and to secondary and tertiary services, and the coordination of performers' care across them.</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there agreed referral routes to the specialists that performers most often need, and how long do referrals take?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coordinates care when a performer is under more than one external service?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Does information from external services return to the performer's record?</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 club has agreed routes to orthopaedic, cardiology and imaging services, with expected waiting times.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Personnel are referred from primary care to rehabilitation and secondary care through a coordinated pathway.</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Staff with a work-related injury have an expedited route to musculoskeletal and mental health specialists.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An employee health provider arranges specialist assessment and returns the advice to the occupational health team.</w:t>
            </w:r>
          </w:p>
        </w:tc>
      </w:tr>
      <w:tr>
        <w:trPr>
          <w:cantSplit/>
        </w:trPr>
        <w:tc>
          <w:tcPr>
            <w:tcW w:type="dxa" w:w="13958"/>
            <w:gridSpan w:val="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Section 2: Psychological</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2.1</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Performance Psychology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Performance psychology: mental skills, psychological readiness and preparation for performance under pressure, for individuals and teams.</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performance psychology support, with what qualifications, and how do performers access it?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psychological preparation for high-pressure events planned and reviewed, for individuals and for teams?</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 practitioner psychologist works with a national squad on pre-competition routines and training under pressure.</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Personnel receive mental skills training before selection courses or deployment.</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Surgical and resuscitation teams rehearse performance under pressure in simulation with structured debriefing.</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Senior staff are coached in preparation for high-stakes negotiations or presentations.</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2.2</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Clinical Psychology and Mental Health</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Mental health care: screening, assessment, treatment and onward referral for mental health conditions in performers; the response to acute crises is scored under 2.6.</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routine screening for mental health conditions, and what happens after a positive screen?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provides assessment and treatment, and how long do performers wait for it?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referral routes to specialist mental health services agreed and used?</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Athletes complete an annual mental health screen, with access to a clinical psychologist and a psychiatrist where needed.</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Personnel have access to mental health assessment and treatment, including after operational deployment.</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Clinicians have a confidential route to psychological assessment and treatment that is separate from their line management.</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An employee assistance programme offers assessment and short-term therapy, with onward referral for complex needs.</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2.3</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Psychological Load Management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Psychological load: monitoring and management of stress, fatigue and burnout, and of psychological recovery; physical load is scored under 3.6.</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are stress, fatigue and burnout monitored, and by whom?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What action follows when monitoring shows rising psychological load?</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Wellbeing questionnaires are reviewed weekly, and selection or travel is adjusted when stress scores rise.</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Commanders review stress and fatigue indicators during prolonged operations and plan decompression.</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Departments monitor indicators of burnout and adjust rotas when they rise during periods of high demand.</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Workload and stress surveys inform the planning of peak periods and leave.</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2.4</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Psychosocial Environment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psychosocial environment: team culture, psychological safety, relationships, leadership climate and the social conditions in which performers live and work.</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are team culture and psychological safety assessed, and how are the results acted 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relationships between performers, the coaches, commanders or managers around them, and support staff reviewed?</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 squad's culture survey informs leadership development for coaches and captains.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Unit climate assessments are used to strengthen cohesion and address poor behaviour.</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Departments assess psychological safety and how readily staff speak up within clinical teams.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Team climate and inclusion surveys inform the development of managers.</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2.5</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Cognitive Performance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Cognitive performance: attention, perception, decision-making under pressure, cognitive load and brain health.</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attention, decision-making and cognitive load assessed or trained, and how?</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brain health monitored over time, with cognitive baselines where head impact is a risk?</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Players in contact sport complete baseline cognitive testing, and decision-making is trained within sessions.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Personnel train decision-making under fatigue and are monitored after blast exposure.</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Cognitive load on long shifts is reduced through checklists and structured handover.</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Roles that demand sustained attention, such as control-room work, are designed to limit cognitive overload.</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2.6</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Welfare, Crisis and Safeguarding</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Welfare support for performers and the immediate response to psychological crises, critical incidents and safeguarding concerns as they arise, with onward referral; the organisation's safeguarding framework is scored under 5.4.</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a known route by which a performer in crisis, or a concern about one, reaches help at any hour?</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critical incidents followed by a structured response and onward referral?</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individual welfare and safeguarding concerns recorded and followed through?</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 welfare officer is on call during competition and refers athletes in crisis to mental health services.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A structured peer support process follows critical incidents, with referral for those who need it.</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Staff involved in a patient's death or a serious incident are offered structured support and referral.</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Managers have a route to urgent support for an employee in crisis, at work or while travelling.</w:t>
            </w:r>
          </w:p>
        </w:tc>
      </w:tr>
      <w:tr>
        <w:trPr>
          <w:cantSplit/>
        </w:trPr>
        <w:tc>
          <w:tcPr>
            <w:tcW w:type="dxa" w:w="13958"/>
            <w:gridSpan w:val="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Section 3: Allied Health and Scientific</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3.1</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Physiotherapy and Rehabilitation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Musculoskeletal assessment, treatment and progressive rehabilitation to agreed criteria; the decision to return to full performance is scored under 5.2.</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musculoskeletal assessment and treatment, and how quickly can performers be seen?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rehabilitation plans written, progressed against agreed criteria and reviewed?</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Physiotherapists run criteria-based rehabilitation after anterior cruciate ligament reconstruction.</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Personnel with training injuries follow graded rehabilitation at a regional rehabilitation unit.</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Staff with back injury from manual handling have rapid access to physiotherapy.</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Employees in manual roles can refer themselves to physiotherapy, with a graded rehabilitation plan.</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3.2</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Nutrition and Dietetics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Nutritional assessment, fuelling and hydration strategies, body composition, supplement use and the dietetic management of clinical conditions.</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nutrition support, with what qualifications, and is it individual or group-based?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fuelling, hydration and supplement use assessed and governed, including the risk of low energy availability?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clinical conditions that need dietetic management identified and referred?</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 registered sports dietitian plans fuelling around training and screens for low energy availability.</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Field rations and hydration plans are designed for heat and prolonged exertion.</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Staff on long and night shifts receive advice on fuelling and hydration, with dietetic referral where needed.</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Employees in shift or travel-heavy roles receive nutrition guidance suited to their working pattern.</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3.3</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Strength, Conditioning and Exercise Science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Physical preparation: the design, prescription and delivery of strength, conditioning and exercise programmes, including the planning of training load; monitoring of the load received is scored under 3.6.</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designs and delivers physical preparation, with what qualifications?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programmes individualised, and is training load planned across the year or cycle?</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An accredited strength and conditioning coach plans training across the competitive season.</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Physical training instructors deliver progressive conditioning before selection courses.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Ambulance and theatre staff are offered conditioning for patient handling and prolonged standing.</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Employees in physically demanding roles follow conditioning programmes designed for the tasks they perform.</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3.4</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and Exercise Physiology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Physiological assessment and support: aerobic and anaerobic capacity, metabolic and environmental physiology (heat, cold and altitude), and the interpretation of results for training and health; the testing programme as a whole is scored under 4.2.</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physiological assessment available, and are results interpreted and used in training and health decisions?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environmental demands such as heat, cold or altitude assessed and prepared for?</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Endurance athletes undergo laboratory testing and heat acclimation before major championships.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Personnel are acclimatised and monitored before deployment to hot or high-altitude environments.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Heat strain in staff wearing protective equipment is assessed and managed.</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The physiological demands of outdoor or heat-exposed work are assessed to set cycles of work and rest.</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3.5</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Biomechanics and Movement Science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Movement and technique analysis, the physical demands of the task and the biomechanics of injury and its prevention.</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movement or technique analysed, by whom and with what methods?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the physical demands of the task understood and used in preventing injury?</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Analysis of a fast bowler's action informs a change of technique to reduce lumbar stress injury.</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Load carriage and marching technique are analysed to reduce lower limb stress injury.</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Operating and patient-handling postures are analysed to reduce musculoskeletal strain in surgeons and nurses.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Lifting tasks and workstations are assessed to reduce musculoskeletal injury.</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3.6</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Sleep, Recovery and Load Monitoring</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Sleep, recovery practice and the monitoring of the training, operational or occupational load that performers receive and of their response to it; the prescription of load is scored under 3.3 and psychological load under 2.3.</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 load that performers receive measured, and is their response to it monitored?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sleep and recovery assessed, and what support follows a problem?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reviews the monitoring data, and how does it change practice?</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Training load and wellness data are reviewed daily, and sleep is supported across long-haul travel.</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Sleep and physical load are monitored during sustained operations, and rest is scheduled.</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Hours worked and sleep across night shifts are monitored, and rotas allow recovery between them.</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The hours and travel load of shift and travelling workers are monitored, and working hours are adjusted when sleep suffers.</w:t>
            </w:r>
          </w:p>
        </w:tc>
      </w:tr>
      <w:tr>
        <w:trPr>
          <w:cantSplit/>
        </w:trPr>
        <w:tc>
          <w:tcPr>
            <w:tcW w:type="dxa" w:w="13958"/>
            <w:gridSpan w:val="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Section 4: Technical</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4.1</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Data Systems and Performance Analytics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Data infrastructure and analytics: the platforms, integration, analysis and reporting that turn health and performance data into information for decisions; information governance is scored under 5.3.</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Where are health and performance data held, and can they be brought together?</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analyses the data, and how are the results reported to those who make decisions?</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An athlete management system brings medical, training and wellness data together in reports for coaches.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Injury and training data from training establishments are combined to inform the design of training.</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Staff absence, injury and occupational health data are combined to report on the health of the workforce.</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Anonymised occupational health and absence data are reported to the board.</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4.2</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Performance Testing and Assessment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testing programme across disciplines: selection and scheduling of standardised tests, their reliability and quality control, and benchmarking; the interpretation of results within each discipline is scored in that discipline's domain.</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a schedule of standardised tests across disciplines, and is it followed?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the reliability and quality control of the tests known, and are results benchmarked?</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 national programme runs a standard test battery three times a season, with its measurement error known.</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Physical employment standards are tested on a fixed schedule with standardised protocols.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Fitness-for-role assessments for staff in physically demanding roles follow a standard protocol.</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Fitness-for-task tests for safety-critical roles are standardised and repeated at fixed intervals.</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4.3</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Technology and Digital Integration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Wearable, positional, biometric and digital health technologies: their selection, evaluation, deployment and integration into practice; the platforms that store and report their data are scored under 4.1.</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Which wearable, positional or digital health technologies are used, and were they evaluated before adoption?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are they integrated into practice, and who is responsible for them?</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Positional tracking units are evaluated for validity before they replace an older system.</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Wearable physiological monitors are trialled for detecting heat strain during training.</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Digital tools for staff wellbeing and fatigue are evaluated before they are rolled out.</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Wearable devices offered to employees are assessed for accuracy and uptake.</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4.4</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Research and Performance Science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In-house research and performance science capability: the people, skills and time to generate local evidence through applied studies, innovation projects and the evaluation of new methods; external research partnerships are scored under 7.2.</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have staff with the skills and protected time to run applied studies?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new methods evaluated locally before they are adopted?</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An embedded performance scientist evaluates a new recovery method across a season.</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A training establishment runs an applied study of an injury prevention programme.</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An occupational health team evaluates a new fatigue intervention within its own hospital.</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An in-house team evaluates the effect of a workplace health programme on absence.</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4.5</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Environment, Facility and Equipment Management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Facilities and equipment: training, operational and clinical spaces, and the provision, maintenance and safety of equipment; emergency equipment is scored under 1.3.</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training, operational and clinical spaces fit for purpose and safe?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equipment maintained, logged and replaced on schedule?</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 club's medical room and gym equipment are inspected and maintained against a log.</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Field medical and training equipment is checked before deployment.</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Staff rest, changing and exercise facilities are provided and maintained.</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Workplace fitness, changing and rest facilities are inspected and maintained.</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4.6</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Operational Logistics and Coordination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Operational logistics: travel, scheduling, deployments and multi-site operations, and the movement of staff, equipment and medicines between sites.</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are travel, scheduling and multi-site work planned, and who coordinates them?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are staff, equipment and medicines moved between sites, and is this governed?</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Staff, medical kit and medicines are planned for an overseas tournament, including the import rules for medicines.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Medical support, equipment and supplies are coordinated across dispersed deployed locations.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Occupational health support is coordinated across several hospital sites.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Health support for employees who travel or are posted overseas is planned and coordinated.</w:t>
            </w:r>
          </w:p>
        </w:tc>
      </w:tr>
      <w:tr>
        <w:trPr>
          <w:cantSplit/>
        </w:trPr>
        <w:tc>
          <w:tcPr>
            <w:tcW w:type="dxa" w:w="13958"/>
            <w:gridSpan w:val="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Section 5: Clinical Practice (Overarching Aspect)</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5.1</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Governance and Clinical Accountability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governance: lines of clinical accountability, professional registration and scope of practice, policies, risk and incident management, and regulatory compliance; the governance and management of the wider organisation sit in the framework's outer boundary.</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a named clinical lead accountable for the service, and are staff registered and working within their scope of practice?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policies current, and are risks and incidents recorded and reviewed?</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 club's head of medicine holds clinical accountability, and staff registration is checked every year.</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Clinical governance of unit medical care is overseen through the medical chain of command.</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The occupational health service is accountable through the hospital's clinical governance structures.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A contracted occupational health provider reports incidents and audits to a named clinical lead.</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5.2</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Clinical Decision-Making and Pathways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decision-making: shared decision-making with performers, inter-professional case review, care pathways across disciplines and decisions on return to full performance.</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performers involved in decisions about their care, and is this recorded?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complex cases reviewed across disciplines, and are care pathways written?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are decisions on return to full performance made, and by whom?</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Return-to-play decisions are made at an interdisciplinary meeting with the athlete and recorded.</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Decisions on medical employment are made by a board that takes account of the individual's view.</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Decisions on return to work after illness are agreed between occupational health, the manager and the member of staff.</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Complex cases are reviewed by occupational health, human resources and the employee before a phased return.</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5.3</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Documentation, Records and Information Governance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Records and information governance: clinical record systems, confidentiality, data protection compliance and the protocols for sharing information across disciplines and organisations.</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clinical records complete, secure and kept to professional standards?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written protocol, with consent, for sharing information between disciplines and with coaches, commanders or managers?</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An electronic medical record limits coaching staff to agreed information on availability.</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Confidential medical information is kept separate from what is shared with the chain of command.</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Occupational health records are kept separate from staff members' personnel files and from any record of their care as patients.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Occupational health reports to managers state fitness and adjustments without clinical detail.</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5.4</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Safeguarding and Duty of Care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safeguarding framework: child and adult protection policies, designated safeguarding leads, consent procedures, reporting and escalation routes, and the duty of care owed to performers and staff; the response to individual concerns is scored under 2.6.</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child and adult safeguarding policies current, and is there a named designated lead?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consent procedures, and the routes for reporting and escalation, written and known to staff?</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An academy has a designated safeguarding lead, and staff who work with players under 18 are checked.</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Training establishments hold safeguarding policies for recruits under 18 and for vulnerable adults.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Staff safeguarding policies cover concerns about colleagues as well as about patients.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The organisation's duty of care policy covers employees who work alone or travel to high-risk areas.</w:t>
            </w:r>
          </w:p>
        </w:tc>
      </w:tr>
      <w:tr>
        <w:trPr>
          <w:cantSplit/>
        </w:trPr>
        <w:tc>
          <w:tcPr>
            <w:tcW w:type="dxa" w:w="13958"/>
            <w:gridSpan w:val="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Section 6: Education and Development (Overarching Aspect)</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6.1</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Staff CPD and Professional Development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Continuing professional development of current staff: training plans, protected learning time and competency frameworks within each discipline and for working across disciplines.</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each member of staff have a development plan and protected learning time?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competency framework within each discipline and for working across disciplines?</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Medical and science staff have funded annual training, including interdisciplinary case-based learning.</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Medical personnel follow a competency framework, with protected training time between deployments.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Occupational health staff hold development plans linked to a professional competency framework.</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In-house health staff have funded development time and an annual appraisal.</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6.2</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Mentorship, Supervision and Workforce Development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and professional supervision and mentoring of current staff, and the development of individuals within their roles through them; the recruitment and training of future practitioners is scored under 6.4.</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 staff receive regular clinical or professional supervision, and is it recorded?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mentoring available, particularly for staff new to the setting?</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 junior physiotherapist has monthly supervision with a senior colleague.</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Newly qualified medical officers are mentored by experienced clinicians.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Occupational health nurses receive regular clinical supervision.</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A lone in-house practitioner has external supervision arranged by the employer.</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6.3</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Education for Performers and Teams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Education of performers and of the coaches, commanders and managers around them: health literacy, performance education and support for informed self-management.</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performers, and the coaches, commanders or managers around them, educated about health and performance?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Does the education support performers to manage their own health?</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Athletes and coaches are taught about concussion, anti-doping and menstrual health.</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Recruits and instructors are taught about injury prevention, sleep and heat illness.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Staff are taught about fatigue, shift work and looking after their own health.</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Managers are trained to recognise ill health and to support employees.</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6.4</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Workforce Pipeline and Training Capacity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pipeline of future practitioners: placements, internships and training posts, the capacity to host and teach them, and succession planning for key roles.</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host placements, internships or training posts, and does it have the capacity to teach them?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succession plan for key roles?</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 club hosts sports science interns and a training post in sport and exercise medicine.</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Training posts are planned so that specialist medical roles can be filled.</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The occupational health service hosts trainees in occupational medicine and nursing.</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An employer's health service plans the succession of its lead clinician.</w:t>
            </w:r>
          </w:p>
        </w:tc>
      </w:tr>
      <w:tr>
        <w:trPr>
          <w:cantSplit/>
        </w:trPr>
        <w:tc>
          <w:tcPr>
            <w:tcW w:type="dxa" w:w="13958"/>
            <w:gridSpan w:val="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Section 7: Research and Knowledge Translation (Overarching Aspect)</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7.1</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Service Audit and Quality Improvement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audit and quality improvement: audit against agreed standards, monitoring of outcomes and structured improvement of the service.</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practice audited against agreed standards, and are audits completed through to re-audit?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outcomes monitored and used to improve the service?</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Injury rates and time lost are audited each season against agreed standards and the previous season.</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Rehabilitation outcomes are audited across units against an agreed standard.</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The time from referral to occupational health assessment is audited and improved.</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The health service audits return-to-work outcomes and acts on the findings.</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7.2</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Research Engagement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Engagement with the wider research community: participation in external studies, academic partnerships, research ethics and governance, and the use of the service's data for research; in-house research capability is scored under 4.4.</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take part in external studies or hold academic partnerships?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research governed, with ethical approval and data sharing agreements in place?</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A club contributes anonymised injury data to a multi-club surveillance study.</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A unit takes part in an externally led study with ethical approval.</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Staff take part in a multi-centre study of shift work and health.</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The employer works with a university to evaluate its health programme.</w:t>
            </w:r>
          </w:p>
        </w:tc>
      </w:tr>
      <w:tr>
        <w:trPr>
          <w:cantSplit/>
        </w:trPr>
        <w:tc>
          <w:tcPr>
            <w:tcW w:type="dxa" w:w="69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7.3</w:t>
            </w:r>
          </w:p>
        </w:tc>
        <w:tc>
          <w:tcPr>
            <w:tcW w:type="dxa" w:w="376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Evidence-Informed Practice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processes by which current best evidence is found, appraised and built into protocols and individual decisions.</w:t>
            </w:r>
          </w:p>
        </w:tc>
        <w:tc>
          <w:tcPr>
            <w:tcW w:type="dxa" w:w="418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is current evidence found and appraised, and by whom?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protocols referenced, and are they updated when the evidence changes?</w:t>
            </w:r>
          </w:p>
        </w:tc>
        <w:tc>
          <w:tcPr>
            <w:tcW w:type="dxa" w:w="530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The medical team reviews its concussion protocol against each new consensus statement.</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Injury prevention guidance for training is updated from systematic reviews.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Occupational health protocols cite current guidance and are reviewed on a schedule.</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Workplace health interventions are chosen on the basis of appraised evidence.</w:t>
            </w:r>
          </w:p>
        </w:tc>
      </w:tr>
      <w:tr>
        <w:trPr>
          <w:cantSpli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7.4</w:t>
            </w:r>
          </w:p>
        </w:tc>
        <w:tc>
          <w:tcPr>
            <w:tcW w:type="dxa" w:w="376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Knowledge Dissemination and Translation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Sharing knowledge beyond the service: publication, conference presentation, external teaching and the translation of the service's learning into practice elsewhere.</w:t>
            </w:r>
          </w:p>
        </w:tc>
        <w:tc>
          <w:tcPr>
            <w:tcW w:type="dxa" w:w="418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share what it learns, through publication, presentation or external teaching?</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its learning taken into practice in other services?</w:t>
            </w:r>
          </w:p>
        </w:tc>
        <w:tc>
          <w:tcPr>
            <w:tcW w:type="dxa" w:w="530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w:t>
            </w:r>
            <w:r>
              <w:rPr>
                <w:rFonts w:ascii="Times New Roman" w:cs="Times New Roman" w:eastAsia="Times New Roman" w:hAnsi="Times New Roman"/>
                <w:b w:val="false"/>
                <w:bCs w:val="false"/>
                <w:i w:val="false"/>
                <w:iCs w:val="false"/>
                <w:sz w:val="20"/>
                <w:szCs w:val="20"/>
              </w:rPr>
              <w:t xml:space="preserve">Staff present the club's rehabilitation outcomes at a national conference.</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Military and tactical: </w:t>
            </w:r>
            <w:r>
              <w:rPr>
                <w:rFonts w:ascii="Times New Roman" w:cs="Times New Roman" w:eastAsia="Times New Roman" w:hAnsi="Times New Roman"/>
                <w:b w:val="false"/>
                <w:bCs w:val="false"/>
                <w:i w:val="false"/>
                <w:iCs w:val="false"/>
                <w:sz w:val="20"/>
                <w:szCs w:val="20"/>
              </w:rPr>
              <w:t xml:space="preserve">Lessons from deployed medical care are shared with civilian services.</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Healthcare: </w:t>
            </w:r>
            <w:r>
              <w:rPr>
                <w:rFonts w:ascii="Times New Roman" w:cs="Times New Roman" w:eastAsia="Times New Roman" w:hAnsi="Times New Roman"/>
                <w:b w:val="false"/>
                <w:bCs w:val="false"/>
                <w:i w:val="false"/>
                <w:iCs w:val="false"/>
                <w:sz w:val="20"/>
                <w:szCs w:val="20"/>
              </w:rPr>
              <w:t xml:space="preserve">The service publishes its evaluation of a staff wellbeing programme.</w:t>
            </w:r>
          </w:p>
          <w:p>
            <w:pPr>
              <w:keepNext w:val="false"/>
              <w:spacing w:after="20" w:before="60" w:line="240" w:lineRule="auto"/>
              <w:jc w:val="left"/>
            </w:pPr>
            <w:r>
              <w:rPr>
                <w:rFonts w:ascii="Times New Roman" w:cs="Times New Roman" w:eastAsia="Times New Roman" w:hAnsi="Times New Roman"/>
                <w:b/>
                <w:bCs/>
                <w:i w:val="false"/>
                <w:iCs w:val="false"/>
                <w:sz w:val="20"/>
                <w:szCs w:val="20"/>
              </w:rPr>
              <w:t xml:space="preserve">Corporate and occupational: </w:t>
            </w:r>
            <w:r>
              <w:rPr>
                <w:rFonts w:ascii="Times New Roman" w:cs="Times New Roman" w:eastAsia="Times New Roman" w:hAnsi="Times New Roman"/>
                <w:b w:val="false"/>
                <w:bCs w:val="false"/>
                <w:i w:val="false"/>
                <w:iCs w:val="false"/>
                <w:sz w:val="20"/>
                <w:szCs w:val="20"/>
              </w:rPr>
              <w:t xml:space="preserve">The employer shares its approach to workplace health with others in its sector.</w:t>
            </w:r>
          </w:p>
        </w:tc>
      </w:tr>
    </w:tbl>
    <w:sectPr>
      <w:headerReference w:type="default" r:id="rId9"/>
      <w:footerReference w:type="default" r:id="rId10"/>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PM-NEAT and PM-OpSpec user guide,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PM-NEAT and PM-OpSpec user guide,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PM-NEAT and PM-OpSpec user guide (pilot version 0.2)</dc:title>
  <dc:creator>Symposion</dc:creator>
  <cp:lastModifiedBy>Symposion</cp:lastModifiedBy>
  <cp:revision>1</cp:revision>
  <dcterms:created xsi:type="dcterms:W3CDTF">2026-10-19T23:35:08.905Z</dcterms:created>
  <dcterms:modified xsi:type="dcterms:W3CDTF">2026-10-19T23:35:08.905Z</dcterms:modified>
</cp:coreProperties>
</file>

<file path=docProps/custom.xml><?xml version="1.0" encoding="utf-8"?>
<Properties xmlns="http://schemas.openxmlformats.org/officeDocument/2006/custom-properties" xmlns:vt="http://schemas.openxmlformats.org/officeDocument/2006/docPropsVTypes"/>
</file>