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7F2A2735" w:rsidR="00904B44" w:rsidRPr="00396E18" w:rsidRDefault="00904B44" w:rsidP="007013EA">
      <w:pPr>
        <w:rPr>
          <w:rFonts w:ascii="Arial" w:hAnsi="Arial" w:cs="Arial"/>
          <w:sz w:val="22"/>
          <w:szCs w:val="22"/>
        </w:rPr>
      </w:pPr>
      <w:r w:rsidRPr="00396E18">
        <w:rPr>
          <w:rFonts w:ascii="Arial" w:hAnsi="Arial" w:cs="Arial"/>
          <w:b/>
          <w:bCs/>
          <w:sz w:val="22"/>
          <w:szCs w:val="22"/>
        </w:rPr>
        <w:t>Graduate Research Assistant</w:t>
      </w:r>
      <w:r w:rsidRPr="00396E18">
        <w:rPr>
          <w:rFonts w:ascii="Arial" w:hAnsi="Arial" w:cs="Arial"/>
          <w:sz w:val="22"/>
          <w:szCs w:val="22"/>
        </w:rPr>
        <w:t>, TBD (</w:t>
      </w:r>
      <w:r w:rsidR="00725B02">
        <w:rPr>
          <w:rFonts w:ascii="Arial" w:hAnsi="Arial" w:cs="Arial"/>
          <w:sz w:val="22"/>
          <w:szCs w:val="22"/>
        </w:rPr>
        <w:t>Y1: 3 GRA each 12</w:t>
      </w:r>
      <w:r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Pr="00396E18">
        <w:rPr>
          <w:rFonts w:ascii="Arial" w:hAnsi="Arial" w:cs="Arial"/>
          <w:sz w:val="22"/>
          <w:szCs w:val="22"/>
        </w:rPr>
        <w:t xml:space="preserve">) </w:t>
      </w:r>
      <w:r w:rsidR="006D21B5">
        <w:rPr>
          <w:rFonts w:ascii="Arial" w:hAnsi="Arial" w:cs="Arial"/>
          <w:sz w:val="22"/>
          <w:szCs w:val="22"/>
        </w:rPr>
        <w:t>Four doctoral candidates</w:t>
      </w:r>
      <w:r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569C39DF" w:rsidR="00904B44" w:rsidRPr="00396E18" w:rsidRDefault="0033135B" w:rsidP="007013EA">
      <w:pPr>
        <w:rPr>
          <w:rFonts w:ascii="Arial" w:hAnsi="Arial" w:cs="Arial"/>
          <w:sz w:val="22"/>
          <w:szCs w:val="22"/>
        </w:rPr>
      </w:pPr>
      <w:r>
        <w:rPr>
          <w:rFonts w:ascii="Arial" w:hAnsi="Arial" w:cs="Arial"/>
          <w:b/>
          <w:bCs/>
          <w:sz w:val="22"/>
          <w:szCs w:val="22"/>
        </w:rPr>
        <w:t xml:space="preserve">2 </w:t>
      </w:r>
      <w:r w:rsidRPr="0033135B">
        <w:rPr>
          <w:rFonts w:ascii="Arial" w:hAnsi="Arial" w:cs="Arial"/>
          <w:b/>
          <w:bCs/>
          <w:sz w:val="22"/>
          <w:szCs w:val="22"/>
        </w:rPr>
        <w:t>Undergraduate REPL Students</w:t>
      </w:r>
      <w:r w:rsidR="00904B44" w:rsidRPr="00396E18">
        <w:rPr>
          <w:rFonts w:ascii="Arial" w:hAnsi="Arial" w:cs="Arial"/>
          <w:sz w:val="22"/>
          <w:szCs w:val="22"/>
        </w:rPr>
        <w:t>, TBD (</w:t>
      </w:r>
      <w:r>
        <w:rPr>
          <w:rFonts w:ascii="Arial" w:hAnsi="Arial" w:cs="Arial"/>
          <w:sz w:val="22"/>
          <w:szCs w:val="22"/>
        </w:rPr>
        <w:t>3</w:t>
      </w:r>
      <w:r w:rsidR="00904B44" w:rsidRPr="00396E18">
        <w:rPr>
          <w:rFonts w:ascii="Arial" w:hAnsi="Arial" w:cs="Arial"/>
          <w:sz w:val="22"/>
          <w:szCs w:val="22"/>
        </w:rPr>
        <w:t xml:space="preserve"> months annual effort) </w:t>
      </w:r>
      <w:r>
        <w:rPr>
          <w:rFonts w:ascii="Arial" w:hAnsi="Arial" w:cs="Arial"/>
          <w:sz w:val="22"/>
          <w:szCs w:val="22"/>
        </w:rPr>
        <w:t>Two</w:t>
      </w:r>
      <w:r w:rsidR="00904B44" w:rsidRPr="00396E18">
        <w:rPr>
          <w:rFonts w:ascii="Arial" w:hAnsi="Arial" w:cs="Arial"/>
          <w:sz w:val="22"/>
          <w:szCs w:val="22"/>
        </w:rPr>
        <w:t xml:space="preserve"> undergraduate student will be recruited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Travel ($</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2"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F075C3" w:rsidRPr="002D5849" w14:paraId="70BF4D01" w14:textId="77777777" w:rsidTr="0076758E">
        <w:trPr>
          <w:trHeight w:hRule="exact" w:val="288"/>
        </w:trPr>
        <w:tc>
          <w:tcPr>
            <w:tcW w:w="925" w:type="dxa"/>
            <w:shd w:val="clear" w:color="auto" w:fill="auto"/>
            <w:vAlign w:val="center"/>
          </w:tcPr>
          <w:p w14:paraId="7FF0C613" w14:textId="7F4496F4" w:rsidR="00F075C3" w:rsidRPr="002D5849" w:rsidRDefault="00F075C3"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2EBB39F" w14:textId="7F260DB6" w:rsidR="00F075C3" w:rsidRDefault="009B5D6E" w:rsidP="002C027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3756CA2E" w14:textId="78A878C4" w:rsidR="00F075C3" w:rsidRDefault="00F075C3" w:rsidP="002C027E">
            <w:pPr>
              <w:spacing w:after="120" w:line="236" w:lineRule="atLeast"/>
              <w:rPr>
                <w:rFonts w:ascii="Arial" w:eastAsia="Calibri" w:hAnsi="Arial" w:cs="Arial"/>
                <w:b/>
                <w:bCs/>
                <w:sz w:val="18"/>
                <w:szCs w:val="18"/>
              </w:rPr>
            </w:pPr>
            <w:r>
              <w:rPr>
                <w:rFonts w:ascii="Arial" w:eastAsia="Calibri" w:hAnsi="Arial" w:cs="Arial"/>
                <w:b/>
                <w:bCs/>
                <w:sz w:val="18"/>
                <w:szCs w:val="18"/>
              </w:rPr>
              <w:t>New York, NY</w:t>
            </w:r>
          </w:p>
        </w:tc>
        <w:tc>
          <w:tcPr>
            <w:tcW w:w="1350" w:type="dxa"/>
            <w:shd w:val="clear" w:color="auto" w:fill="auto"/>
            <w:vAlign w:val="center"/>
          </w:tcPr>
          <w:p w14:paraId="17972460" w14:textId="74D980F5"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C5B2C4D" w14:textId="57353B7A"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56100B" w:rsidRPr="002D5849" w14:paraId="35E02D73" w14:textId="77777777" w:rsidTr="0076758E">
        <w:trPr>
          <w:trHeight w:hRule="exact" w:val="288"/>
        </w:trPr>
        <w:tc>
          <w:tcPr>
            <w:tcW w:w="925" w:type="dxa"/>
            <w:shd w:val="clear" w:color="auto" w:fill="auto"/>
            <w:vAlign w:val="center"/>
          </w:tcPr>
          <w:p w14:paraId="7DF8A867" w14:textId="3905BC8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lastRenderedPageBreak/>
              <w:t>Yr. 1</w:t>
            </w:r>
          </w:p>
        </w:tc>
        <w:tc>
          <w:tcPr>
            <w:tcW w:w="2963" w:type="dxa"/>
            <w:shd w:val="clear" w:color="auto" w:fill="auto"/>
            <w:vAlign w:val="center"/>
          </w:tcPr>
          <w:p w14:paraId="47617021" w14:textId="1147C808"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Speaking Engagement</w:t>
            </w:r>
          </w:p>
        </w:tc>
        <w:tc>
          <w:tcPr>
            <w:tcW w:w="2430" w:type="dxa"/>
            <w:shd w:val="clear" w:color="auto" w:fill="auto"/>
            <w:vAlign w:val="center"/>
          </w:tcPr>
          <w:p w14:paraId="00176D72" w14:textId="1D3839DF"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Boston, MA</w:t>
            </w:r>
          </w:p>
        </w:tc>
        <w:tc>
          <w:tcPr>
            <w:tcW w:w="1350" w:type="dxa"/>
            <w:shd w:val="clear" w:color="auto" w:fill="auto"/>
            <w:vAlign w:val="center"/>
          </w:tcPr>
          <w:p w14:paraId="1DCE5E85" w14:textId="1110E181"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10CDF53" w14:textId="4FA7BB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56100B" w:rsidRPr="002D5849" w14:paraId="3DD7BDBF" w14:textId="77777777" w:rsidTr="0076758E">
        <w:trPr>
          <w:trHeight w:hRule="exact" w:val="288"/>
        </w:trPr>
        <w:tc>
          <w:tcPr>
            <w:tcW w:w="925" w:type="dxa"/>
            <w:shd w:val="clear" w:color="auto" w:fill="auto"/>
            <w:vAlign w:val="center"/>
          </w:tcPr>
          <w:p w14:paraId="0CD4BA7C" w14:textId="1BF69A9C"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802F199" w14:textId="528DF44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03FB7086" w14:textId="785F71D7"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60187468" w14:textId="009F2C23"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536AEAC" w14:textId="756CE4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65215797" w14:textId="77777777" w:rsidTr="0076758E">
        <w:trPr>
          <w:trHeight w:hRule="exact" w:val="288"/>
        </w:trPr>
        <w:tc>
          <w:tcPr>
            <w:tcW w:w="925" w:type="dxa"/>
            <w:shd w:val="clear" w:color="auto" w:fill="auto"/>
            <w:vAlign w:val="center"/>
          </w:tcPr>
          <w:p w14:paraId="1A953EFA" w14:textId="0DEB5CE0" w:rsidR="009B5D6E"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6A9DBEAE" w14:textId="3FDFB8B5"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40A90C73" w14:textId="476A96CE"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St. Petersburg, FL</w:t>
            </w:r>
          </w:p>
        </w:tc>
        <w:tc>
          <w:tcPr>
            <w:tcW w:w="1350" w:type="dxa"/>
            <w:shd w:val="clear" w:color="auto" w:fill="auto"/>
            <w:vAlign w:val="center"/>
          </w:tcPr>
          <w:p w14:paraId="304F7F8E" w14:textId="1083E7B7"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4DD3403" w14:textId="1F0A0FB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567FF9" w14:textId="77777777" w:rsidTr="0076758E">
        <w:trPr>
          <w:trHeight w:hRule="exact" w:val="288"/>
        </w:trPr>
        <w:tc>
          <w:tcPr>
            <w:tcW w:w="925" w:type="dxa"/>
            <w:shd w:val="clear" w:color="auto" w:fill="auto"/>
            <w:vAlign w:val="center"/>
          </w:tcPr>
          <w:p w14:paraId="75B1C217" w14:textId="1956B32E" w:rsidR="009B5D6E" w:rsidRPr="002D5849" w:rsidRDefault="009B5D6E"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3F6FEF68" w14:textId="22265843"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4404252" w14:textId="4D60AAC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Jose, CA</w:t>
            </w:r>
          </w:p>
        </w:tc>
        <w:tc>
          <w:tcPr>
            <w:tcW w:w="1350" w:type="dxa"/>
            <w:shd w:val="clear" w:color="auto" w:fill="auto"/>
            <w:vAlign w:val="center"/>
          </w:tcPr>
          <w:p w14:paraId="703D1FF3" w14:textId="2F5D080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3FF9726" w14:textId="6009E680"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125C36FA" w14:textId="77777777" w:rsidTr="0076758E">
        <w:trPr>
          <w:trHeight w:hRule="exact" w:val="288"/>
        </w:trPr>
        <w:tc>
          <w:tcPr>
            <w:tcW w:w="925" w:type="dxa"/>
            <w:shd w:val="clear" w:color="auto" w:fill="auto"/>
            <w:vAlign w:val="center"/>
          </w:tcPr>
          <w:p w14:paraId="5273E6E8" w14:textId="02961425" w:rsidR="0056100B" w:rsidRPr="002D5849"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436E2AEC" w14:textId="75A81D76"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4717500" w14:textId="0F2488C3"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3FA275F7" w14:textId="079F68B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6944D09" w14:textId="098055E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9B5D6E" w:rsidRPr="002D5849" w14:paraId="46442CB8" w14:textId="77777777" w:rsidTr="0076758E">
        <w:trPr>
          <w:trHeight w:hRule="exact" w:val="288"/>
        </w:trPr>
        <w:tc>
          <w:tcPr>
            <w:tcW w:w="925" w:type="dxa"/>
            <w:shd w:val="clear" w:color="auto" w:fill="auto"/>
            <w:vAlign w:val="center"/>
          </w:tcPr>
          <w:p w14:paraId="7CD35E63" w14:textId="1579E220"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53D8FFC3" w14:textId="682D5456"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6D8C929" w14:textId="6F774F88"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Denver, CO</w:t>
            </w:r>
          </w:p>
        </w:tc>
        <w:tc>
          <w:tcPr>
            <w:tcW w:w="1350" w:type="dxa"/>
            <w:shd w:val="clear" w:color="auto" w:fill="auto"/>
            <w:vAlign w:val="center"/>
          </w:tcPr>
          <w:p w14:paraId="05AA0443" w14:textId="4F330F5D"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66723410" w14:textId="74E13F78"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4555C147" w14:textId="77777777" w:rsidTr="0076758E">
        <w:trPr>
          <w:trHeight w:hRule="exact" w:val="288"/>
        </w:trPr>
        <w:tc>
          <w:tcPr>
            <w:tcW w:w="925" w:type="dxa"/>
            <w:shd w:val="clear" w:color="auto" w:fill="auto"/>
            <w:vAlign w:val="center"/>
          </w:tcPr>
          <w:p w14:paraId="072ED223" w14:textId="539D1772"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2A404C60" w14:textId="3794D5FB"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FBED989" w14:textId="3CCFBA7D"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57AC54BB" w14:textId="08320F6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93B5C6F" w14:textId="03867D0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F075C3" w:rsidRPr="002D5849" w14:paraId="451EA195" w14:textId="77777777" w:rsidTr="0076758E">
        <w:trPr>
          <w:trHeight w:hRule="exact" w:val="288"/>
        </w:trPr>
        <w:tc>
          <w:tcPr>
            <w:tcW w:w="925" w:type="dxa"/>
            <w:shd w:val="clear" w:color="auto" w:fill="auto"/>
            <w:vAlign w:val="center"/>
          </w:tcPr>
          <w:p w14:paraId="5F32AA8E" w14:textId="3513851A"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35C5F136" w14:textId="652E1DBA"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05C3867A" w14:textId="0F7FD7E2" w:rsidR="00F075C3" w:rsidRDefault="00F075C3" w:rsidP="0036428A">
            <w:pPr>
              <w:spacing w:after="120" w:line="236" w:lineRule="atLeast"/>
              <w:rPr>
                <w:rFonts w:ascii="Arial" w:eastAsia="Calibri" w:hAnsi="Arial" w:cs="Arial"/>
                <w:b/>
                <w:bCs/>
                <w:sz w:val="18"/>
                <w:szCs w:val="18"/>
              </w:rPr>
            </w:pPr>
            <w:proofErr w:type="gramStart"/>
            <w:r>
              <w:rPr>
                <w:rFonts w:ascii="Arial" w:eastAsia="Calibri" w:hAnsi="Arial" w:cs="Arial"/>
                <w:b/>
                <w:bCs/>
                <w:sz w:val="18"/>
                <w:szCs w:val="18"/>
              </w:rPr>
              <w:t>Snow Bird</w:t>
            </w:r>
            <w:proofErr w:type="gramEnd"/>
            <w:r>
              <w:rPr>
                <w:rFonts w:ascii="Arial" w:eastAsia="Calibri" w:hAnsi="Arial" w:cs="Arial"/>
                <w:b/>
                <w:bCs/>
                <w:sz w:val="18"/>
                <w:szCs w:val="18"/>
              </w:rPr>
              <w:t>, UT</w:t>
            </w:r>
          </w:p>
        </w:tc>
        <w:tc>
          <w:tcPr>
            <w:tcW w:w="1350" w:type="dxa"/>
            <w:shd w:val="clear" w:color="auto" w:fill="auto"/>
            <w:vAlign w:val="center"/>
          </w:tcPr>
          <w:p w14:paraId="390AB257" w14:textId="6E5B3B03"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6A687A09" w14:textId="6F7474A6"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539CA93B" w14:textId="77777777" w:rsidTr="0076758E">
        <w:trPr>
          <w:trHeight w:hRule="exact" w:val="288"/>
        </w:trPr>
        <w:tc>
          <w:tcPr>
            <w:tcW w:w="925" w:type="dxa"/>
            <w:shd w:val="clear" w:color="auto" w:fill="auto"/>
            <w:vAlign w:val="center"/>
          </w:tcPr>
          <w:p w14:paraId="2D344F96" w14:textId="53F4A288"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4ADDE982" w14:textId="5C1DC2FA"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3E540D06" w14:textId="3D1450A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Los Angeles, CA</w:t>
            </w:r>
          </w:p>
        </w:tc>
        <w:tc>
          <w:tcPr>
            <w:tcW w:w="1350" w:type="dxa"/>
            <w:shd w:val="clear" w:color="auto" w:fill="auto"/>
            <w:vAlign w:val="center"/>
          </w:tcPr>
          <w:p w14:paraId="39846F21" w14:textId="4F66606B"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8A81790" w14:textId="258DD598"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6EE50937" w14:textId="77777777" w:rsidTr="0076758E">
        <w:trPr>
          <w:trHeight w:hRule="exact" w:val="288"/>
        </w:trPr>
        <w:tc>
          <w:tcPr>
            <w:tcW w:w="925" w:type="dxa"/>
            <w:shd w:val="clear" w:color="auto" w:fill="auto"/>
            <w:vAlign w:val="center"/>
          </w:tcPr>
          <w:p w14:paraId="10F7C201" w14:textId="568E847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0BDA502C" w14:textId="3265494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5142571D" w14:textId="7285E36E"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7914D709" w14:textId="1572E824"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8A7CDD" w14:textId="74407B1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F075C3" w:rsidRPr="002D5849" w14:paraId="584F0DC0" w14:textId="77777777" w:rsidTr="0076758E">
        <w:trPr>
          <w:trHeight w:hRule="exact" w:val="288"/>
        </w:trPr>
        <w:tc>
          <w:tcPr>
            <w:tcW w:w="925" w:type="dxa"/>
            <w:shd w:val="clear" w:color="auto" w:fill="auto"/>
            <w:vAlign w:val="center"/>
          </w:tcPr>
          <w:p w14:paraId="0CD6E698" w14:textId="401439F0"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963" w:type="dxa"/>
            <w:shd w:val="clear" w:color="auto" w:fill="auto"/>
            <w:vAlign w:val="center"/>
          </w:tcPr>
          <w:p w14:paraId="2B590121" w14:textId="35375CB6"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108D1367" w14:textId="083FBD31" w:rsidR="00F075C3" w:rsidRDefault="00F075C3" w:rsidP="0036428A">
            <w:pPr>
              <w:spacing w:after="120" w:line="236" w:lineRule="atLeast"/>
              <w:rPr>
                <w:rFonts w:ascii="Arial" w:eastAsia="Calibri" w:hAnsi="Arial" w:cs="Arial"/>
                <w:b/>
                <w:bCs/>
                <w:sz w:val="18"/>
                <w:szCs w:val="18"/>
              </w:rPr>
            </w:pPr>
            <w:r>
              <w:rPr>
                <w:rFonts w:ascii="Arial" w:eastAsia="Calibri" w:hAnsi="Arial" w:cs="Arial"/>
                <w:b/>
                <w:bCs/>
                <w:sz w:val="18"/>
                <w:szCs w:val="18"/>
              </w:rPr>
              <w:t>New Orleans, LA</w:t>
            </w:r>
          </w:p>
        </w:tc>
        <w:tc>
          <w:tcPr>
            <w:tcW w:w="1350" w:type="dxa"/>
            <w:shd w:val="clear" w:color="auto" w:fill="auto"/>
            <w:vAlign w:val="center"/>
          </w:tcPr>
          <w:p w14:paraId="0F2E03AE" w14:textId="3CF3C90B"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734FD298" w14:textId="61ABF359"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r>
        <w:rPr>
          <w:rFonts w:ascii="Arial" w:hAnsi="Arial" w:cs="Arial"/>
          <w:b/>
          <w:sz w:val="22"/>
          <w:szCs w:val="22"/>
          <w:u w:val="single"/>
        </w:rPr>
        <w:t xml:space="preserve">Foreign </w:t>
      </w:r>
      <w:r w:rsidRPr="008B2A5C">
        <w:rPr>
          <w:rFonts w:ascii="Arial" w:hAnsi="Arial" w:cs="Arial"/>
          <w:b/>
          <w:sz w:val="22"/>
          <w:szCs w:val="22"/>
          <w:u w:val="single"/>
        </w:rPr>
        <w:t>Travel ($</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5E4755D3" w14:textId="77777777" w:rsidTr="007C7FA8">
        <w:trPr>
          <w:trHeight w:hRule="exact" w:val="288"/>
        </w:trPr>
        <w:tc>
          <w:tcPr>
            <w:tcW w:w="925" w:type="dxa"/>
            <w:shd w:val="clear" w:color="auto" w:fill="auto"/>
            <w:vAlign w:val="center"/>
          </w:tcPr>
          <w:p w14:paraId="623F4ACE" w14:textId="7BA340E5"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3125A0BF" w14:textId="0025677D"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B94860C" w14:textId="641EEA5B"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Mumbai, India</w:t>
            </w:r>
          </w:p>
        </w:tc>
        <w:tc>
          <w:tcPr>
            <w:tcW w:w="1260" w:type="dxa"/>
            <w:shd w:val="clear" w:color="auto" w:fill="auto"/>
            <w:vAlign w:val="center"/>
          </w:tcPr>
          <w:p w14:paraId="5BE738D9" w14:textId="4BD89D0C"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07CC967" w14:textId="3AD2C8FF"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3668B67A" w14:textId="77777777" w:rsidTr="007C7FA8">
        <w:trPr>
          <w:trHeight w:hRule="exact" w:val="288"/>
        </w:trPr>
        <w:tc>
          <w:tcPr>
            <w:tcW w:w="925" w:type="dxa"/>
            <w:shd w:val="clear" w:color="auto" w:fill="auto"/>
            <w:vAlign w:val="center"/>
          </w:tcPr>
          <w:p w14:paraId="2671BCC6" w14:textId="68607FF2"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7463BEA9" w14:textId="79BC17EC"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31964538" w14:textId="07C280EC"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Seoul, South Korea</w:t>
            </w:r>
          </w:p>
        </w:tc>
        <w:tc>
          <w:tcPr>
            <w:tcW w:w="1260" w:type="dxa"/>
            <w:shd w:val="clear" w:color="auto" w:fill="auto"/>
            <w:vAlign w:val="center"/>
          </w:tcPr>
          <w:p w14:paraId="6CEA3781" w14:textId="500DC1DB"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060389C" w14:textId="4375C1B1"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F075C3" w:rsidRPr="002D5849" w14:paraId="46B60130" w14:textId="77777777" w:rsidTr="007C7FA8">
        <w:trPr>
          <w:trHeight w:hRule="exact" w:val="288"/>
        </w:trPr>
        <w:tc>
          <w:tcPr>
            <w:tcW w:w="925" w:type="dxa"/>
            <w:shd w:val="clear" w:color="auto" w:fill="auto"/>
            <w:vAlign w:val="center"/>
          </w:tcPr>
          <w:p w14:paraId="47D8E41C" w14:textId="37B1C85F"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614" w:type="dxa"/>
            <w:shd w:val="clear" w:color="auto" w:fill="auto"/>
            <w:vAlign w:val="center"/>
          </w:tcPr>
          <w:p w14:paraId="66B3EBFF" w14:textId="27EC7A6D"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1F719012" w14:textId="36C9EA16" w:rsidR="00F075C3" w:rsidRDefault="00F075C3" w:rsidP="005F13D2">
            <w:pPr>
              <w:spacing w:after="120" w:line="236" w:lineRule="atLeast"/>
              <w:rPr>
                <w:rFonts w:ascii="Arial" w:eastAsia="Calibri" w:hAnsi="Arial" w:cs="Arial"/>
                <w:b/>
                <w:bCs/>
                <w:sz w:val="18"/>
                <w:szCs w:val="18"/>
              </w:rPr>
            </w:pPr>
            <w:proofErr w:type="spellStart"/>
            <w:r>
              <w:rPr>
                <w:rFonts w:ascii="Arial" w:eastAsia="Calibri" w:hAnsi="Arial" w:cs="Arial"/>
                <w:b/>
                <w:bCs/>
                <w:sz w:val="18"/>
                <w:szCs w:val="18"/>
              </w:rPr>
              <w:t>Rejkyavik</w:t>
            </w:r>
            <w:proofErr w:type="spellEnd"/>
          </w:p>
        </w:tc>
        <w:tc>
          <w:tcPr>
            <w:tcW w:w="1260" w:type="dxa"/>
            <w:shd w:val="clear" w:color="auto" w:fill="auto"/>
            <w:vAlign w:val="center"/>
          </w:tcPr>
          <w:p w14:paraId="62B0D4BC" w14:textId="71E8FC05"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34DE141A" w14:textId="1CA37EAB"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2F8B443F" w14:textId="77777777" w:rsidTr="007C7FA8">
        <w:trPr>
          <w:trHeight w:hRule="exact" w:val="288"/>
        </w:trPr>
        <w:tc>
          <w:tcPr>
            <w:tcW w:w="925" w:type="dxa"/>
            <w:shd w:val="clear" w:color="auto" w:fill="auto"/>
            <w:vAlign w:val="center"/>
          </w:tcPr>
          <w:p w14:paraId="096EF802" w14:textId="22EAB683" w:rsidR="009B5D6E"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012D2ADD" w14:textId="2E4B7FEE" w:rsidR="009B5D6E"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3CD2145C" w14:textId="21779DF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6263F07A" w14:textId="04F2B6D0"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0D6292" w14:textId="6E5C0CFF"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3D5BBAFA" w14:textId="77777777" w:rsidTr="007C7FA8">
        <w:trPr>
          <w:trHeight w:hRule="exact" w:val="288"/>
        </w:trPr>
        <w:tc>
          <w:tcPr>
            <w:tcW w:w="925" w:type="dxa"/>
            <w:shd w:val="clear" w:color="auto" w:fill="auto"/>
            <w:vAlign w:val="center"/>
          </w:tcPr>
          <w:p w14:paraId="7C548D38"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FSE</w:t>
            </w:r>
            <w:r>
              <w:rPr>
                <w:rFonts w:ascii="Arial" w:eastAsia="Calibri" w:hAnsi="Arial" w:cs="Arial"/>
                <w:sz w:val="22"/>
                <w:szCs w:val="22"/>
              </w:rPr>
              <w:t xml:space="preserve"> Conference</w:t>
            </w:r>
          </w:p>
        </w:tc>
        <w:tc>
          <w:tcPr>
            <w:tcW w:w="2869" w:type="dxa"/>
            <w:shd w:val="clear" w:color="auto" w:fill="auto"/>
            <w:vAlign w:val="center"/>
          </w:tcPr>
          <w:p w14:paraId="595DD682" w14:textId="0110084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3B39E148" w14:textId="77777777" w:rsidTr="007C7FA8">
        <w:trPr>
          <w:trHeight w:hRule="exact" w:val="288"/>
        </w:trPr>
        <w:tc>
          <w:tcPr>
            <w:tcW w:w="925" w:type="dxa"/>
            <w:shd w:val="clear" w:color="auto" w:fill="auto"/>
            <w:vAlign w:val="center"/>
          </w:tcPr>
          <w:p w14:paraId="0320DA59"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9B5D6E" w:rsidRPr="002D5849" w14:paraId="38BB227E" w14:textId="77777777" w:rsidTr="007C7FA8">
        <w:trPr>
          <w:trHeight w:hRule="exact" w:val="288"/>
        </w:trPr>
        <w:tc>
          <w:tcPr>
            <w:tcW w:w="925" w:type="dxa"/>
            <w:shd w:val="clear" w:color="auto" w:fill="auto"/>
            <w:vAlign w:val="center"/>
          </w:tcPr>
          <w:p w14:paraId="368457DB"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2B13816E" w14:textId="54AA169A"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p>
        </w:tc>
        <w:tc>
          <w:tcPr>
            <w:tcW w:w="1260" w:type="dxa"/>
            <w:shd w:val="clear" w:color="auto" w:fill="auto"/>
            <w:vAlign w:val="center"/>
          </w:tcPr>
          <w:p w14:paraId="26591FD8" w14:textId="4513226B"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46742F01" w14:textId="77777777" w:rsidTr="007C7FA8">
        <w:trPr>
          <w:trHeight w:hRule="exact" w:val="288"/>
        </w:trPr>
        <w:tc>
          <w:tcPr>
            <w:tcW w:w="925" w:type="dxa"/>
            <w:shd w:val="clear" w:color="auto" w:fill="auto"/>
            <w:vAlign w:val="center"/>
          </w:tcPr>
          <w:p w14:paraId="646F7EF4" w14:textId="4A0B005E"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lastRenderedPageBreak/>
              <w:t>Yr. 3</w:t>
            </w:r>
          </w:p>
        </w:tc>
        <w:tc>
          <w:tcPr>
            <w:tcW w:w="2614" w:type="dxa"/>
            <w:shd w:val="clear" w:color="auto" w:fill="auto"/>
            <w:vAlign w:val="center"/>
          </w:tcPr>
          <w:p w14:paraId="246637AD" w14:textId="362165F0"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0072A3F2" w14:textId="77160B7B"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90821F4" w14:textId="1219443B"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580B5978" w14:textId="473F17B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71EA23A8" w14:textId="77777777" w:rsidTr="007C7FA8">
        <w:trPr>
          <w:trHeight w:hRule="exact" w:val="288"/>
        </w:trPr>
        <w:tc>
          <w:tcPr>
            <w:tcW w:w="925" w:type="dxa"/>
            <w:shd w:val="clear" w:color="auto" w:fill="auto"/>
            <w:vAlign w:val="center"/>
          </w:tcPr>
          <w:p w14:paraId="1017E4C0" w14:textId="3BDD631D"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614" w:type="dxa"/>
            <w:shd w:val="clear" w:color="auto" w:fill="auto"/>
            <w:vAlign w:val="center"/>
          </w:tcPr>
          <w:p w14:paraId="7FAF5889" w14:textId="216B121B"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4E48838" w14:textId="125C8191"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E4A76FA" w14:textId="01E349F5"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9C33C39" w14:textId="0798EAEA"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2D7B64" w14:textId="77777777" w:rsidTr="007C7FA8">
        <w:trPr>
          <w:trHeight w:hRule="exact" w:val="288"/>
        </w:trPr>
        <w:tc>
          <w:tcPr>
            <w:tcW w:w="925" w:type="dxa"/>
            <w:shd w:val="clear" w:color="auto" w:fill="auto"/>
            <w:vAlign w:val="center"/>
          </w:tcPr>
          <w:p w14:paraId="686D80C5"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1C0E282F" w14:textId="0DEA765E"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66E7259B" w14:textId="77777777" w:rsidTr="007C7FA8">
        <w:trPr>
          <w:trHeight w:hRule="exact" w:val="288"/>
        </w:trPr>
        <w:tc>
          <w:tcPr>
            <w:tcW w:w="925" w:type="dxa"/>
            <w:shd w:val="clear" w:color="auto" w:fill="auto"/>
            <w:vAlign w:val="center"/>
          </w:tcPr>
          <w:p w14:paraId="5DDA12F1" w14:textId="4B758E85"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614" w:type="dxa"/>
            <w:shd w:val="clear" w:color="auto" w:fill="auto"/>
            <w:vAlign w:val="center"/>
          </w:tcPr>
          <w:p w14:paraId="121588F6" w14:textId="2858EA00"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5F33FDF0" w14:textId="41DF3F99"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Montreal, Canada</w:t>
            </w:r>
          </w:p>
        </w:tc>
        <w:tc>
          <w:tcPr>
            <w:tcW w:w="1260" w:type="dxa"/>
            <w:shd w:val="clear" w:color="auto" w:fill="auto"/>
            <w:vAlign w:val="center"/>
          </w:tcPr>
          <w:p w14:paraId="68A1BF58" w14:textId="2C97990A"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0368709" w14:textId="4ED6E0E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1AE18C2" w14:textId="77777777" w:rsidTr="007C7FA8">
        <w:trPr>
          <w:trHeight w:hRule="exact" w:val="288"/>
        </w:trPr>
        <w:tc>
          <w:tcPr>
            <w:tcW w:w="925" w:type="dxa"/>
            <w:shd w:val="clear" w:color="auto" w:fill="auto"/>
            <w:vAlign w:val="center"/>
          </w:tcPr>
          <w:p w14:paraId="299DCD54"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ICFP</w:t>
            </w:r>
            <w:r>
              <w:rPr>
                <w:rFonts w:ascii="Arial" w:eastAsia="Calibri" w:hAnsi="Arial" w:cs="Arial"/>
                <w:sz w:val="22"/>
                <w:szCs w:val="22"/>
              </w:rPr>
              <w:t xml:space="preserve"> Conference</w:t>
            </w:r>
          </w:p>
        </w:tc>
        <w:tc>
          <w:tcPr>
            <w:tcW w:w="2869" w:type="dxa"/>
            <w:shd w:val="clear" w:color="auto" w:fill="auto"/>
            <w:vAlign w:val="center"/>
          </w:tcPr>
          <w:p w14:paraId="579F179B" w14:textId="1B9CE2EC"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5F253FFD" w14:textId="77777777" w:rsidTr="007C7FA8">
        <w:trPr>
          <w:trHeight w:hRule="exact" w:val="288"/>
        </w:trPr>
        <w:tc>
          <w:tcPr>
            <w:tcW w:w="925" w:type="dxa"/>
            <w:shd w:val="clear" w:color="auto" w:fill="auto"/>
            <w:vAlign w:val="center"/>
          </w:tcPr>
          <w:p w14:paraId="0EF872DE"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2F05169D" w14:textId="77777777" w:rsidTr="007C7FA8">
        <w:trPr>
          <w:trHeight w:hRule="exact" w:val="288"/>
        </w:trPr>
        <w:tc>
          <w:tcPr>
            <w:tcW w:w="925" w:type="dxa"/>
            <w:shd w:val="clear" w:color="auto" w:fill="auto"/>
            <w:vAlign w:val="center"/>
          </w:tcPr>
          <w:p w14:paraId="3314C47F"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9B5D6E" w:rsidRPr="00E461FD" w:rsidRDefault="009B5D6E" w:rsidP="009B5D6E">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9B5D6E" w:rsidRPr="002D5849" w:rsidRDefault="009B5D6E" w:rsidP="009B5D6E">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46D0F76A" w14:textId="77777777" w:rsidTr="007C7FA8">
        <w:trPr>
          <w:trHeight w:hRule="exact" w:val="288"/>
        </w:trPr>
        <w:tc>
          <w:tcPr>
            <w:tcW w:w="925" w:type="dxa"/>
            <w:shd w:val="clear" w:color="auto" w:fill="auto"/>
            <w:vAlign w:val="center"/>
          </w:tcPr>
          <w:p w14:paraId="4BC3C61B" w14:textId="5700A168"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3093D140" w14:textId="540DE29A"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31CF5D1E" w14:textId="71BCDE02"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Lisbon, Portugal</w:t>
            </w:r>
          </w:p>
        </w:tc>
        <w:tc>
          <w:tcPr>
            <w:tcW w:w="1260" w:type="dxa"/>
            <w:shd w:val="clear" w:color="auto" w:fill="auto"/>
            <w:vAlign w:val="center"/>
          </w:tcPr>
          <w:p w14:paraId="7B340BB5" w14:textId="615C52FE"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6B2075B" w14:textId="5472014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AA24DB1" w14:textId="77777777" w:rsidTr="007C7FA8">
        <w:trPr>
          <w:trHeight w:hRule="exact" w:val="288"/>
        </w:trPr>
        <w:tc>
          <w:tcPr>
            <w:tcW w:w="925" w:type="dxa"/>
            <w:shd w:val="clear" w:color="auto" w:fill="auto"/>
            <w:vAlign w:val="center"/>
          </w:tcPr>
          <w:p w14:paraId="09536B9A" w14:textId="7FFCF3E1"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60539C3B" w14:textId="1AFA87AD"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029D6080" w14:textId="6CB470E8"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Glasgow, United Kingdom</w:t>
            </w:r>
          </w:p>
        </w:tc>
        <w:tc>
          <w:tcPr>
            <w:tcW w:w="1260" w:type="dxa"/>
            <w:shd w:val="clear" w:color="auto" w:fill="auto"/>
            <w:vAlign w:val="center"/>
          </w:tcPr>
          <w:p w14:paraId="6A8BB28A" w14:textId="2DE8BB9B"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0C4D4024" w14:textId="34A7BDB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716645A0" w14:textId="77777777" w:rsidTr="007C7FA8">
        <w:trPr>
          <w:trHeight w:val="360"/>
        </w:trPr>
        <w:tc>
          <w:tcPr>
            <w:tcW w:w="8838" w:type="dxa"/>
            <w:gridSpan w:val="5"/>
            <w:shd w:val="clear" w:color="auto" w:fill="D9D9D9"/>
            <w:vAlign w:val="center"/>
          </w:tcPr>
          <w:p w14:paraId="71414E50" w14:textId="77777777" w:rsidR="009B5D6E" w:rsidRPr="002D5849" w:rsidRDefault="009B5D6E" w:rsidP="009B5D6E">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3"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3"/>
      <w:r w:rsidR="00BB29F0" w:rsidRPr="002D5849">
        <w:rPr>
          <w:rFonts w:ascii="Arial" w:hAnsi="Arial" w:cs="Arial"/>
          <w:b/>
          <w:bCs/>
          <w:sz w:val="22"/>
          <w:szCs w:val="22"/>
          <w:u w:val="single"/>
        </w:rPr>
        <w:t>:</w:t>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4" w:name="_Hlk115250204"/>
      <w:r w:rsidR="00904B44" w:rsidRPr="001279FF">
        <w:rPr>
          <w:rFonts w:ascii="Arial" w:hAnsi="Arial" w:cs="Arial"/>
          <w:sz w:val="22"/>
          <w:szCs w:val="22"/>
          <w:highlight w:val="yellow"/>
        </w:rPr>
        <w:t>Details of any specific materials &amp; supplies for this project……</w:t>
      </w:r>
      <w:bookmarkEnd w:id="4"/>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156383A4"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Computers for Students</w:t>
            </w:r>
          </w:p>
        </w:tc>
        <w:tc>
          <w:tcPr>
            <w:tcW w:w="1030" w:type="dxa"/>
            <w:shd w:val="clear" w:color="auto" w:fill="auto"/>
            <w:vAlign w:val="center"/>
          </w:tcPr>
          <w:p w14:paraId="4A1E36D1" w14:textId="5D0ABDDB"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429B9E2" w14:textId="36E24866"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4FCCD14B" w14:textId="5C301189"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7F85FAF1" w14:textId="3576783A"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51F8E171" w14:textId="1FD9BE3F"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r>
      <w:tr w:rsidR="0069322C" w:rsidRPr="009B5D6E" w14:paraId="180B6843" w14:textId="77777777" w:rsidTr="0069322C">
        <w:trPr>
          <w:trHeight w:val="284"/>
        </w:trPr>
        <w:tc>
          <w:tcPr>
            <w:tcW w:w="3801" w:type="dxa"/>
            <w:shd w:val="clear" w:color="auto" w:fill="auto"/>
            <w:vAlign w:val="center"/>
          </w:tcPr>
          <w:p w14:paraId="1D7BDBA5" w14:textId="31F498B7"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Lab Computer for Studies</w:t>
            </w:r>
          </w:p>
        </w:tc>
        <w:tc>
          <w:tcPr>
            <w:tcW w:w="1030" w:type="dxa"/>
            <w:shd w:val="clear" w:color="auto" w:fill="auto"/>
            <w:vAlign w:val="center"/>
          </w:tcPr>
          <w:p w14:paraId="33A602CA" w14:textId="6070CCDC"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2C5BB8E" w14:textId="626FF6C0"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76B8E497" w14:textId="7C5A13FD"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2E2662EE" w14:textId="26BDD4DC"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1AE086D" w14:textId="5B9BD0D0" w:rsidR="0069322C" w:rsidRPr="009B5D6E" w:rsidRDefault="0069322C" w:rsidP="00CC2B9D">
            <w:pPr>
              <w:contextualSpacing/>
              <w:jc w:val="center"/>
              <w:rPr>
                <w:rFonts w:ascii="Arial" w:eastAsia="Calibri" w:hAnsi="Arial" w:cs="Arial"/>
                <w:sz w:val="22"/>
                <w:szCs w:val="22"/>
              </w:rPr>
            </w:pPr>
          </w:p>
        </w:tc>
      </w:tr>
      <w:tr w:rsidR="0056100B" w:rsidRPr="00396E18" w14:paraId="2D84BF0E" w14:textId="77777777" w:rsidTr="0069322C">
        <w:trPr>
          <w:trHeight w:val="284"/>
        </w:trPr>
        <w:tc>
          <w:tcPr>
            <w:tcW w:w="3801" w:type="dxa"/>
            <w:shd w:val="clear" w:color="auto" w:fill="auto"/>
            <w:vAlign w:val="center"/>
          </w:tcPr>
          <w:p w14:paraId="1849AA3E" w14:textId="2D6FC577" w:rsidR="0056100B" w:rsidRDefault="0056100B" w:rsidP="00CC2B9D">
            <w:pPr>
              <w:contextualSpacing/>
              <w:rPr>
                <w:rFonts w:ascii="Arial" w:eastAsia="Calibri" w:hAnsi="Arial" w:cs="Arial"/>
                <w:sz w:val="22"/>
                <w:szCs w:val="22"/>
                <w:highlight w:val="yellow"/>
              </w:rPr>
            </w:pPr>
            <w:r>
              <w:rPr>
                <w:rFonts w:ascii="Arial" w:eastAsia="Calibri" w:hAnsi="Arial" w:cs="Arial"/>
                <w:sz w:val="22"/>
                <w:szCs w:val="22"/>
                <w:highlight w:val="yellow"/>
              </w:rPr>
              <w:t>Other things?</w:t>
            </w:r>
          </w:p>
        </w:tc>
        <w:tc>
          <w:tcPr>
            <w:tcW w:w="1030" w:type="dxa"/>
            <w:shd w:val="clear" w:color="auto" w:fill="auto"/>
            <w:vAlign w:val="center"/>
          </w:tcPr>
          <w:p w14:paraId="5D14C0E6" w14:textId="33F730A3"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00391020" w14:textId="037D02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282C4390" w14:textId="6DC98D6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528BE09" w14:textId="6841A6F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70F3583" w14:textId="39AE4A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03993010" w:rsidR="0069322C" w:rsidRPr="0069322C" w:rsidRDefault="009B5D6E" w:rsidP="00CC2B9D">
            <w:pPr>
              <w:contextualSpacing/>
              <w:rPr>
                <w:rFonts w:ascii="Arial" w:eastAsia="Calibri" w:hAnsi="Arial" w:cs="Arial"/>
                <w:sz w:val="22"/>
                <w:szCs w:val="22"/>
                <w:highlight w:val="yellow"/>
              </w:rPr>
            </w:pPr>
            <w:r>
              <w:rPr>
                <w:rFonts w:ascii="Arial" w:eastAsia="Calibri" w:hAnsi="Arial" w:cs="Arial"/>
                <w:sz w:val="22"/>
                <w:szCs w:val="22"/>
                <w:highlight w:val="yellow"/>
              </w:rPr>
              <w:t>Server for Experiments</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r w:rsidRPr="00237ACE">
              <w:rPr>
                <w:rFonts w:ascii="Arial" w:eastAsia="Calibri" w:hAnsi="Arial" w:cs="Arial"/>
                <w:sz w:val="22"/>
                <w:szCs w:val="22"/>
              </w:rPr>
              <w:t>Miscellaneous Supplies</w:t>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2"/>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7"/>
      <w:type w:val="continuous"/>
      <w:pgSz w:w="12240" w:h="15840" w:code="1"/>
      <w:pgMar w:top="1440" w:right="144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3C59" w14:textId="77777777" w:rsidR="000F559B" w:rsidRDefault="000F559B">
      <w:r>
        <w:separator/>
      </w:r>
    </w:p>
  </w:endnote>
  <w:endnote w:type="continuationSeparator" w:id="0">
    <w:p w14:paraId="09E5D7A8" w14:textId="77777777" w:rsidR="000F559B" w:rsidRDefault="000F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2070309020205020404"/>
    <w:charset w:val="00"/>
    <w:family w:val="modern"/>
    <w:notTrueType/>
    <w:pitch w:val="fixed"/>
    <w:sig w:usb0="00000003" w:usb1="00000000" w:usb2="00000000" w:usb3="00000000" w:csb0="00000001"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3666" w14:textId="77777777" w:rsidR="000F559B" w:rsidRDefault="000F559B">
      <w:r>
        <w:separator/>
      </w:r>
    </w:p>
  </w:footnote>
  <w:footnote w:type="continuationSeparator" w:id="0">
    <w:p w14:paraId="21FB55EF" w14:textId="77777777" w:rsidR="000F559B" w:rsidRDefault="000F5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F559B"/>
    <w:rsid w:val="000F5C8E"/>
    <w:rsid w:val="00104796"/>
    <w:rsid w:val="00107477"/>
    <w:rsid w:val="001125FD"/>
    <w:rsid w:val="00134AEF"/>
    <w:rsid w:val="001447B4"/>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A6375"/>
    <w:rsid w:val="003B760D"/>
    <w:rsid w:val="003C2C38"/>
    <w:rsid w:val="003E0B78"/>
    <w:rsid w:val="003E3FD0"/>
    <w:rsid w:val="004050FC"/>
    <w:rsid w:val="0041622D"/>
    <w:rsid w:val="00453156"/>
    <w:rsid w:val="00465AAF"/>
    <w:rsid w:val="004677A7"/>
    <w:rsid w:val="00482BB7"/>
    <w:rsid w:val="00483531"/>
    <w:rsid w:val="00487EB9"/>
    <w:rsid w:val="004957F4"/>
    <w:rsid w:val="004A732B"/>
    <w:rsid w:val="004A76CB"/>
    <w:rsid w:val="004C6A89"/>
    <w:rsid w:val="004D6A58"/>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7625E"/>
    <w:rsid w:val="00E7674A"/>
    <w:rsid w:val="00E86790"/>
    <w:rsid w:val="00EA7BD9"/>
    <w:rsid w:val="00EC00E0"/>
    <w:rsid w:val="00EC1662"/>
    <w:rsid w:val="00EC7365"/>
    <w:rsid w:val="00ED11B2"/>
    <w:rsid w:val="00EE07BF"/>
    <w:rsid w:val="00EF73C1"/>
    <w:rsid w:val="00F075C3"/>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Goldstein, Harry</cp:lastModifiedBy>
  <cp:revision>12</cp:revision>
  <cp:lastPrinted>2009-12-07T20:52:00Z</cp:lastPrinted>
  <dcterms:created xsi:type="dcterms:W3CDTF">2023-02-20T15:22:00Z</dcterms:created>
  <dcterms:modified xsi:type="dcterms:W3CDTF">2023-02-21T16:46:00Z</dcterms:modified>
</cp:coreProperties>
</file>