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6.png" ContentType="image/png"/>
  <Override PartName="/word/media/rId30.png" ContentType="image/png"/>
  <Override PartName="/word/media/rId39.png" ContentType="image/png"/>
  <Override PartName="/word/media/rId33.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 the Surgical Removal of</w:t>
      </w:r>
      <w:r>
        <w:br/>
      </w:r>
      <w:r>
        <w:t xml:space="preserve">Cardassian Cranial Implants</w:t>
      </w:r>
    </w:p>
    <w:p>
      <w:pPr>
        <w:pStyle w:val="Subtitle"/>
      </w:pPr>
      <w:r>
        <w:t xml:space="preserve">A case study of a Cardassian patient</w:t>
      </w:r>
    </w:p>
    <w:p>
      <w:pPr>
        <w:pStyle w:val="Author"/>
      </w:pPr>
      <w:r>
        <w:t xml:space="preserve">Julian Bashir</w:t>
      </w:r>
    </w:p>
    <w:p>
      <w:pPr>
        <w:pStyle w:val="Author"/>
      </w:pPr>
      <w:r>
        <w:t xml:space="preserve">Elim Garak</w:t>
      </w:r>
    </w:p>
    <w:p>
      <w:pPr>
        <w:pStyle w:val="Date"/>
      </w:pPr>
      <w:r>
        <w:t xml:space="preserve">Sunday, May 10, 2026</w:t>
      </w:r>
    </w:p>
    <w:p>
      <w:pPr>
        <w:pStyle w:val="AbstractTitle"/>
      </w:pPr>
      <w:r>
        <w:t xml:space="preserve">Abstract</w:t>
      </w:r>
    </w:p>
    <w:p>
      <w:pPr>
        <w:pStyle w:val="Abstract"/>
      </w:pPr>
      <w:r>
        <w:t xml:space="preserve">Space: the final frontier. These are the voyages of the starship</w:t>
      </w:r>
      <w:r>
        <w:t xml:space="preserve"> </w:t>
      </w:r>
      <w:r>
        <w:rPr>
          <w:i/>
          <w:iCs/>
        </w:rPr>
        <w:t xml:space="preserve">Enterprise</w:t>
      </w:r>
      <w:r>
        <w:t xml:space="preserve">. Its continuing mission: to explore strange new worlds. To seek out new life and new civilizations. To boldly go where no one has gone before!</w:t>
      </w:r>
    </w:p>
    <w:p>
      <w:pPr>
        <w:pStyle w:val="FirstParagraph"/>
      </w:pPr>
      <w:r>
        <w:t xml:space="preserve">We’re acquainted with the wormhole phenomenon, but this… is a remarkable piece of bio-electronic engineering by which I see much of the EM spectrum ranging from heat and infrared through radio waves, et cetera, and forgive me if I’ve said and listened to this a thousand times</w:t>
      </w:r>
      <w:r>
        <w:t xml:space="preserve"> </w:t>
      </w:r>
      <w:r>
        <w:t xml:space="preserve">(Lovelace 1842)</w:t>
      </w:r>
      <w:r>
        <w:t xml:space="preserve">.</w:t>
      </w:r>
    </w:p>
    <w:p>
      <w:pPr>
        <w:pStyle w:val="BodyText"/>
      </w:pPr>
      <w:r>
        <w:t xml:space="preserve">This planet’s interior heat provides an abundance of geothermal energy. We need to neutralize the homing signal.</w:t>
      </w:r>
    </w:p>
    <w:bookmarkStart w:id="23" w:name="first-level-heading"/>
    <w:p>
      <w:pPr>
        <w:pStyle w:val="Heading1"/>
      </w:pPr>
      <w:r>
        <w:t xml:space="preserve">First-level heading</w:t>
      </w:r>
    </w:p>
    <w:p>
      <w:pPr>
        <w:pStyle w:val="FirstParagraph"/>
      </w:pPr>
      <w:r>
        <w:t xml:space="preserve">It indicates a synchronic distortion in the areas emanating triolic waves. The cerebellum, the cerebral cortex, the brain stem, the entire nervous system has been depleted of electrochemical energy</w:t>
      </w:r>
      <w:r>
        <w:t xml:space="preserve"> </w:t>
      </w:r>
      <w:r>
        <w:t xml:space="preserve">(Turing 1936)</w:t>
      </w:r>
      <w:r>
        <w:t xml:space="preserve">.</w:t>
      </w:r>
    </w:p>
    <w:p>
      <w:pPr>
        <w:pStyle w:val="SourceCode"/>
      </w:pPr>
      <w:r>
        <w:rPr>
          <w:rStyle w:val="NormalTok"/>
        </w:rPr>
        <w:t xml:space="preserve">n_lights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n_lights</w:t>
      </w:r>
    </w:p>
    <w:p>
      <w:pPr>
        <w:pStyle w:val="SourceCode"/>
      </w:pPr>
      <w:r>
        <w:rPr>
          <w:rStyle w:val="VerbatimChar"/>
        </w:rPr>
        <w:t xml:space="preserve">[1] 4</w:t>
      </w:r>
    </w:p>
    <w:p>
      <w:pPr>
        <w:pStyle w:val="FirstParagraph"/>
      </w:pPr>
      <w:r>
        <w:t xml:space="preserve">Any device like that would produce high levels of triolic waves. These walls have undergone some kind of selective molecular polarization. I haven’t determined if our phaser energy can generate a stable field. We could alter the photons with phase discriminators, or with</w:t>
      </w:r>
      <w:r>
        <w:t xml:space="preserve"> </w:t>
      </w:r>
      <w:hyperlink r:id="rId9">
        <w:r>
          <w:rPr>
            <w:rStyle w:val="Hyperlink"/>
          </w:rPr>
          <w:t xml:space="preserve">Fermat’s last theorem</w:t>
        </w:r>
      </w:hyperlink>
      <w:r>
        <w:t xml:space="preserve"> </w:t>
      </w:r>
      <w:r>
        <w:t xml:space="preserve">(see</w:t>
      </w:r>
      <w:r>
        <w:t xml:space="preserve"> </w:t>
      </w:r>
      <w:hyperlink w:anchor="eq-fermats-last-theorem">
        <w:r>
          <w:rPr>
            <w:rStyle w:val="Hyperlink"/>
          </w:rPr>
          <w:t xml:space="preserve">Equation 1</w:t>
        </w:r>
      </w:hyperlink>
      <w:r>
        <w:t xml:space="preserve">).</w:t>
      </w:r>
    </w:p>
    <w:p>
      <w:pPr>
        <w:pStyle w:val="BodyText"/>
      </w:pPr>
      <w:bookmarkStart w:id="10" w:name="eq-fermats-last-theorem"/>
      <m:oMathPara>
        <m:oMathParaPr>
          <m:jc m:val="center"/>
        </m:oMathParaPr>
        <m:oMath>
          <m:sSup>
            <m:e>
              <m:r>
                <m:t>x</m:t>
              </m:r>
            </m:e>
            <m:sup>
              <m:r>
                <m:t>n</m:t>
              </m:r>
            </m:sup>
          </m:sSup>
          <m:r>
            <m:rPr>
              <m:sty m:val="p"/>
            </m:rPr>
            <m:t>+</m:t>
          </m:r>
          <m:sSup>
            <m:e>
              <m:r>
                <m:t>y</m:t>
              </m:r>
            </m:e>
            <m:sup>
              <m:r>
                <m:t>n</m:t>
              </m:r>
            </m:sup>
          </m:sSup>
          <m:r>
            <m:rPr>
              <m:sty m:val="p"/>
            </m:rPr>
            <m:t>≠</m:t>
          </m:r>
          <m:sSup>
            <m:e>
              <m:r>
                <m:t>z</m:t>
              </m:r>
            </m:e>
            <m:sup>
              <m:r>
                <m:t>n</m:t>
              </m:r>
            </m:sup>
          </m:sSup>
          <m:r>
            <m:t> </m:t>
          </m:r>
          <m:r>
            <m:rPr>
              <m:sty m:val="p"/>
            </m:rPr>
            <m:t>∀</m:t>
          </m:r>
          <m:r>
            <m:t> </m:t>
          </m:r>
          <m:r>
            <m:t>n</m:t>
          </m:r>
          <m:r>
            <m:rPr>
              <m:sty m:val="p"/>
            </m:rPr>
            <m:t>&gt;</m:t>
          </m:r>
          <m:r>
            <m:t>2</m:t>
          </m:r>
          <m:r>
            <m:t>  </m:t>
          </m:r>
          <m:r>
            <m:rPr>
              <m:sty m:val="p"/>
            </m:rPr>
            <m:t>(</m:t>
          </m:r>
          <m:r>
            <m:t>1</m:t>
          </m:r>
          <m:r>
            <m:rPr>
              <m:sty m:val="p"/>
            </m:rPr>
            <m:t>)</m:t>
          </m:r>
        </m:oMath>
      </m:oMathPara>
      <w:bookmarkEnd w:id="10"/>
    </w:p>
    <w:bookmarkStart w:id="15" w:name="second-level-heading"/>
    <w:p>
      <w:pPr>
        <w:pStyle w:val="Heading2"/>
      </w:pPr>
      <w:r>
        <w:t xml:space="preserve">Second-level heading</w:t>
      </w:r>
    </w:p>
    <w:p>
      <w:pPr>
        <w:pStyle w:val="FirstParagraph"/>
      </w:pPr>
      <w:r>
        <w:t xml:space="preserve">Communication is not possible</w:t>
      </w:r>
      <w:r>
        <w:t xml:space="preserve"> </w:t>
      </w:r>
      <w:r>
        <w:t xml:space="preserve">(Keynes 1937)</w:t>
      </w:r>
      <w:r>
        <w:t xml:space="preserve">. The shuttle has no power (see</w:t>
      </w:r>
      <w:r>
        <w:t xml:space="preserve"> </w:t>
      </w:r>
      <w:hyperlink w:anchor="fig-n-lights">
        <w:r>
          <w:rPr>
            <w:rStyle w:val="Hyperlink"/>
          </w:rPr>
          <w:t xml:space="preserve">Figure 1</w:t>
        </w:r>
      </w:hyperlink>
      <w:r>
        <w:t xml:space="preserve">).</w:t>
      </w:r>
    </w:p>
    <w:p>
      <w:pPr>
        <w:pStyle w:val="BodyText"/>
      </w:pPr>
      <w:r>
        <w:t xml:space="preserve">Using the gravitational pull of a star to slingshot back in time? We are going to Starbase Montgomery for Engineering consultations prompted by minor read-out anomalies. Probes have recorded unusual levels of geological activity in all five planetary systems.</w:t>
      </w:r>
    </w:p>
    <w:p>
      <w:pPr>
        <w:pStyle w:val="BlockText"/>
      </w:pPr>
      <w:r>
        <w:t xml:space="preserve">Now what are the possibilities of warp drive? Cmdr Riker’s nervous system has been invaded by an unknown microorganism. The organisms fuse to the nerve, intertwining at the molecular level. That’s why the transporter’s biofilters couldn’t extract it.</w:t>
      </w:r>
    </w:p>
    <w:p>
      <w:pPr>
        <w:pStyle w:val="FirstParagraph"/>
      </w:pPr>
      <w:r>
        <w:t xml:space="preserve">The vertex waves show a K-complex corresponding to an REM state. The engineering section’s critical. Assemble a team. Look at records of the Drema quadrant. Would these scans detect artificial transmissions as well as natural signals?</w:t>
      </w:r>
    </w:p>
    <w:tbl>
      <w:tblPr>
        <w:tblStyle w:val="Table"/>
        <w:tblW w:type="pct" w:w="5000"/>
        <w:tblLayout w:type="fixed"/>
        <w:tblLook w:firstRow="0" w:lastRow="0" w:firstColumn="0" w:lastColumn="0" w:noHBand="0" w:noVBand="0" w:val="0000"/>
      </w:tblPr>
      <w:tblGrid>
        <w:gridCol w:w="7920"/>
      </w:tblGrid>
      <w:tr>
        <w:tc>
          <w:tcPr/>
          <w:bookmarkStart w:id="14" w:name="fig-n-lights"/>
          <w:p>
            <w:pPr>
              <w:pStyle w:val="Compact"/>
              <w:jc w:val="center"/>
            </w:pPr>
            <w:r>
              <w:drawing>
                <wp:inline>
                  <wp:extent cx="4587290" cy="917458"/>
                  <wp:effectExtent b="0" l="0" r="0" t="0"/>
                  <wp:docPr descr="" title="" id="12" name="Picture"/>
                  <a:graphic>
                    <a:graphicData uri="http://schemas.openxmlformats.org/drawingml/2006/picture">
                      <pic:pic>
                        <pic:nvPicPr>
                          <pic:cNvPr descr="hikmah-testing-default_files/figure-docx/fig-n-lights-1.png" id="13" name="Picture"/>
                          <pic:cNvPicPr>
                            <a:picLocks noChangeArrowheads="1" noChangeAspect="1"/>
                          </pic:cNvPicPr>
                        </pic:nvPicPr>
                        <pic:blipFill>
                          <a:blip r:embed="rId11"/>
                          <a:stretch>
                            <a:fillRect/>
                          </a:stretch>
                        </pic:blipFill>
                        <pic:spPr bwMode="auto">
                          <a:xfrm>
                            <a:off x="0" y="0"/>
                            <a:ext cx="4587290" cy="91745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There are four lights</w:t>
            </w:r>
          </w:p>
          <w:bookmarkEnd w:id="14"/>
        </w:tc>
      </w:tr>
    </w:tbl>
    <w:bookmarkEnd w:id="15"/>
    <w:bookmarkStart w:id="22" w:name="another-second-level-heading"/>
    <w:p>
      <w:pPr>
        <w:pStyle w:val="Heading2"/>
      </w:pPr>
      <w:r>
        <w:t xml:space="preserve">Another second-level heading</w:t>
      </w:r>
    </w:p>
    <w:p>
      <w:pPr>
        <w:pStyle w:val="FirstParagraph"/>
      </w:pPr>
      <w:r>
        <w:t xml:space="preserve">Destruction is imminent. Their robes contain ultritium, highly explosive, virtually undetectable by your transporter.</w:t>
      </w:r>
    </w:p>
    <w:bookmarkStart w:id="21" w:name="a-third-level-heading-now"/>
    <w:p>
      <w:pPr>
        <w:pStyle w:val="Heading3"/>
      </w:pPr>
      <w:r>
        <w:t xml:space="preserve">A third-level heading now</w:t>
      </w:r>
    </w:p>
    <w:p>
      <w:pPr>
        <w:pStyle w:val="FirstParagraph"/>
      </w:pPr>
      <w:r>
        <w:t xml:space="preserve">Sensors indicate human life</w:t>
      </w:r>
      <w:r>
        <w:rPr>
          <w:rStyle w:val="FootnoteReference"/>
        </w:rPr>
        <w:footnoteReference w:id="16"/>
      </w:r>
      <w:r>
        <w:t xml:space="preserve"> </w:t>
      </w:r>
      <w:r>
        <w:t xml:space="preserve">forms 30 meters below the planet’s surface. Stellar flares are increasing in magnitude and frequency. Set course for Rhomboid Dronegar 006, warp seven. There’s no evidence of an advanced communication network. Total guidance system failure, with less than 24 hours’ reserve power.</w:t>
      </w:r>
      <w:r>
        <w:rPr>
          <w:rStyle w:val="FootnoteReference"/>
        </w:rPr>
        <w:footnoteReference w:id="17"/>
      </w:r>
    </w:p>
    <w:tbl>
      <w:tblPr>
        <w:tblStyle w:val="Table"/>
        <w:tblW w:type="pct" w:w="5000"/>
        <w:tblLayout w:type="fixed"/>
        <w:tblLook w:firstRow="0" w:lastRow="0" w:firstColumn="0" w:lastColumn="0" w:noHBand="0" w:noVBand="0" w:val="0000"/>
      </w:tblPr>
      <w:tblGrid>
        <w:gridCol w:w="7920"/>
      </w:tblGrid>
      <w:tr>
        <w:tc>
          <w:tcPr/>
          <w:bookmarkStart w:id="18" w:name="tbl-testing"/>
          <w:p>
            <w:pPr>
              <w:jc w:val="center"/>
            </w:pPr>
            <w:pPr>
              <w:jc w:val="left"/>
              <w:spacing w:before="200"/>
              <w:pStyle w:val="ImageCaption"/>
            </w:pPr>
            <w:r>
              <w:t xml:space="preserve">Table 1: A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Default</w:t>
                  </w:r>
                </w:p>
              </w:tc>
              <w:tc>
                <w:tcPr/>
                <w:p>
                  <w:pPr>
                    <w:pStyle w:val="Compact"/>
                    <w:jc w:val="left"/>
                    <w:jc w:val="center"/>
                  </w:pPr>
                  <w:r>
                    <w:t xml:space="preserve">Left</w:t>
                  </w:r>
                </w:p>
              </w:tc>
              <w:tc>
                <w:tcPr/>
                <w:p>
                  <w:pPr>
                    <w:pStyle w:val="Compact"/>
                    <w:jc w:val="right"/>
                    <w:jc w:val="center"/>
                  </w:pPr>
                  <w:r>
                    <w:t xml:space="preserve">Right</w:t>
                  </w:r>
                </w:p>
              </w:tc>
              <w:tc>
                <w:tcPr/>
                <w:p>
                  <w:pPr>
                    <w:pStyle w:val="Compact"/>
                    <w:jc w:val="center"/>
                    <w:jc w:val="center"/>
                  </w:pPr>
                  <w:r>
                    <w:t xml:space="preserve">Center</w:t>
                  </w:r>
                </w:p>
              </w:tc>
            </w:tr>
            <w:tr>
              <w:tc>
                <w:tcPr/>
                <w:p>
                  <w:pPr>
                    <w:pStyle w:val="Compact"/>
                    <w:jc w:val="center"/>
                  </w:pPr>
                  <w:r>
                    <w:t xml:space="preserve">12</w:t>
                  </w:r>
                </w:p>
              </w:tc>
              <w:tc>
                <w:tcPr/>
                <w:p>
                  <w:pPr>
                    <w:pStyle w:val="Compact"/>
                    <w:jc w:val="left"/>
                    <w:jc w:val="center"/>
                  </w:pPr>
                  <w:r>
                    <w:t xml:space="preserve">12</w:t>
                  </w:r>
                </w:p>
              </w:tc>
              <w:tc>
                <w:tcPr/>
                <w:p>
                  <w:pPr>
                    <w:pStyle w:val="Compact"/>
                    <w:jc w:val="right"/>
                    <w:jc w:val="center"/>
                  </w:pPr>
                  <w:r>
                    <w:t xml:space="preserve">12</w:t>
                  </w:r>
                </w:p>
              </w:tc>
              <w:tc>
                <w:tcPr/>
                <w:p>
                  <w:pPr>
                    <w:pStyle w:val="Compact"/>
                    <w:jc w:val="center"/>
                    <w:jc w:val="center"/>
                  </w:pPr>
                  <w:r>
                    <w:t xml:space="preserve">12</w:t>
                  </w:r>
                </w:p>
              </w:tc>
            </w:tr>
            <w:tr>
              <w:tc>
                <w:tcPr/>
                <w:p>
                  <w:pPr>
                    <w:pStyle w:val="Compact"/>
                    <w:jc w:val="center"/>
                  </w:pPr>
                  <w:r>
                    <w:t xml:space="preserve">123</w:t>
                  </w:r>
                </w:p>
              </w:tc>
              <w:tc>
                <w:tcPr/>
                <w:p>
                  <w:pPr>
                    <w:pStyle w:val="Compact"/>
                    <w:jc w:val="left"/>
                    <w:jc w:val="center"/>
                  </w:pPr>
                  <w:r>
                    <w:t xml:space="preserve">123</w:t>
                  </w:r>
                </w:p>
              </w:tc>
              <w:tc>
                <w:tcPr/>
                <w:p>
                  <w:pPr>
                    <w:pStyle w:val="Compact"/>
                    <w:jc w:val="right"/>
                    <w:jc w:val="center"/>
                  </w:pPr>
                  <w:r>
                    <w:t xml:space="preserve">123</w:t>
                  </w:r>
                </w:p>
              </w:tc>
              <w:tc>
                <w:tcPr/>
                <w:p>
                  <w:pPr>
                    <w:pStyle w:val="Compact"/>
                    <w:jc w:val="center"/>
                    <w:jc w:val="center"/>
                  </w:pPr>
                  <w:r>
                    <w:t xml:space="preserve">123</w:t>
                  </w:r>
                </w:p>
              </w:tc>
            </w:tr>
            <w:tr>
              <w:tc>
                <w:tcPr/>
                <w:p>
                  <w:pPr>
                    <w:pStyle w:val="Compact"/>
                    <w:jc w:val="center"/>
                  </w:pPr>
                  <w:r>
                    <w:t xml:space="preserve">1</w:t>
                  </w:r>
                </w:p>
              </w:tc>
              <w:tc>
                <w:tcPr/>
                <w:p>
                  <w:pPr>
                    <w:pStyle w:val="Compact"/>
                    <w:jc w:val="left"/>
                    <w:jc w:val="center"/>
                  </w:pPr>
                  <w:r>
                    <w:t xml:space="preserve">1</w:t>
                  </w:r>
                </w:p>
              </w:tc>
              <w:tc>
                <w:tcPr/>
                <w:p>
                  <w:pPr>
                    <w:pStyle w:val="Compact"/>
                    <w:jc w:val="right"/>
                    <w:jc w:val="center"/>
                  </w:pPr>
                  <w:r>
                    <w:t xml:space="preserve">1</w:t>
                  </w:r>
                </w:p>
              </w:tc>
              <w:tc>
                <w:tcPr/>
                <w:p>
                  <w:pPr>
                    <w:pStyle w:val="Compact"/>
                    <w:jc w:val="center"/>
                    <w:jc w:val="center"/>
                  </w:pPr>
                  <w:r>
                    <w:t xml:space="preserve">1</w:t>
                  </w:r>
                </w:p>
              </w:tc>
            </w:tr>
          </w:tbl>
          <w:bookmarkEnd w:id="18"/>
          <w:p/>
        </w:tc>
      </w:tr>
    </w:tbl>
    <w:p>
      <w:pPr>
        <w:pStyle w:val="BodyText"/>
      </w:pPr>
      <w:r>
        <w:t xml:space="preserve">Shield effectiveness (see</w:t>
      </w:r>
      <w:r>
        <w:t xml:space="preserve"> </w:t>
      </w:r>
      <w:hyperlink w:anchor="tbl-testing">
        <w:r>
          <w:rPr>
            <w:rStyle w:val="Hyperlink"/>
          </w:rPr>
          <w:t xml:space="preserve">Table 1</w:t>
        </w:r>
      </w:hyperlink>
      <w:r>
        <w:t xml:space="preserve">) has been reduced 12 percent. We have covered the area in a spherical pattern which a ship without warp drive could cross in the given time.</w:t>
      </w:r>
    </w:p>
    <w:bookmarkStart w:id="19" w:name="a-fourth-level-heading"/>
    <w:p>
      <w:pPr>
        <w:pStyle w:val="Heading4"/>
      </w:pPr>
      <w:r>
        <w:t xml:space="preserve">A fourth(!) level heading</w:t>
      </w:r>
    </w:p>
    <w:p>
      <w:pPr>
        <w:pStyle w:val="FirstParagraph"/>
      </w:pPr>
      <w:r>
        <w:t xml:space="preserve">You saw something as tasty as meat, but inorganically materialized out of patterns used by our transporters.</w:t>
      </w:r>
    </w:p>
    <w:bookmarkEnd w:id="19"/>
    <w:bookmarkStart w:id="20" w:name="and-another-one"/>
    <w:p>
      <w:pPr>
        <w:pStyle w:val="Heading4"/>
      </w:pPr>
      <w:r>
        <w:t xml:space="preserve">And another one</w:t>
      </w:r>
    </w:p>
    <w:p>
      <w:pPr>
        <w:pStyle w:val="FirstParagraph"/>
      </w:pPr>
      <w:r>
        <w:t xml:space="preserve">Captain, the most elementary and valuable statement in science, the beginning of wisdom, is</w:t>
      </w:r>
      <w:r>
        <w:t xml:space="preserve"> </w:t>
      </w:r>
      <w:r>
        <w:t xml:space="preserve">‘I do not know.’</w:t>
      </w:r>
      <w:r>
        <w:t xml:space="preserve"> </w:t>
      </w:r>
      <w:r>
        <w:t xml:space="preserve">All transporters off.</w:t>
      </w:r>
    </w:p>
    <w:bookmarkEnd w:id="20"/>
    <w:bookmarkEnd w:id="21"/>
    <w:bookmarkEnd w:id="22"/>
    <w:bookmarkEnd w:id="23"/>
    <w:bookmarkStart w:id="46" w:name="testing-specific-formatting-things"/>
    <w:p>
      <w:pPr>
        <w:pStyle w:val="Heading1"/>
      </w:pPr>
      <w:r>
        <w:t xml:space="preserve">Testing specific formatting things</w:t>
      </w:r>
    </w:p>
    <w:bookmarkStart w:id="29" w:name="lists"/>
    <w:p>
      <w:pPr>
        <w:pStyle w:val="Heading2"/>
      </w:pPr>
      <w:r>
        <w:t xml:space="preserve">Lists</w:t>
      </w:r>
    </w:p>
    <w:bookmarkStart w:id="24" w:name="regular-compact-unordered-list"/>
    <w:p>
      <w:pPr>
        <w:pStyle w:val="Heading3"/>
      </w:pPr>
      <w:r>
        <w:t xml:space="preserve">Regular compact unordered list</w:t>
      </w:r>
    </w:p>
    <w:p>
      <w:pPr>
        <w:pStyle w:val="Compact"/>
        <w:numPr>
          <w:ilvl w:val="0"/>
          <w:numId w:val="1001"/>
        </w:numPr>
      </w:pPr>
      <w:r>
        <w:t xml:space="preserve">Captain Benjamin Sisko</w:t>
      </w:r>
    </w:p>
    <w:p>
      <w:pPr>
        <w:pStyle w:val="Compact"/>
        <w:numPr>
          <w:ilvl w:val="1"/>
          <w:numId w:val="1002"/>
        </w:numPr>
      </w:pPr>
      <w:r>
        <w:t xml:space="preserve">Initially a commander</w:t>
      </w:r>
    </w:p>
    <w:p>
      <w:pPr>
        <w:pStyle w:val="Compact"/>
        <w:numPr>
          <w:ilvl w:val="0"/>
          <w:numId w:val="1001"/>
        </w:numPr>
      </w:pPr>
      <w:r>
        <w:t xml:space="preserve">Colonel Kira Nerys</w:t>
      </w:r>
    </w:p>
    <w:p>
      <w:pPr>
        <w:pStyle w:val="Compact"/>
        <w:numPr>
          <w:ilvl w:val="0"/>
          <w:numId w:val="1001"/>
        </w:numPr>
      </w:pPr>
      <w:r>
        <w:t xml:space="preserve">Lieutenant Commander Jadzia Dax</w:t>
      </w:r>
    </w:p>
    <w:p>
      <w:pPr>
        <w:pStyle w:val="Compact"/>
        <w:numPr>
          <w:ilvl w:val="0"/>
          <w:numId w:val="1001"/>
        </w:numPr>
      </w:pPr>
      <w:r>
        <w:t xml:space="preserve">Lieutenant Commander Worf</w:t>
      </w:r>
    </w:p>
    <w:bookmarkEnd w:id="24"/>
    <w:bookmarkStart w:id="25" w:name="loose-unordered-list"/>
    <w:p>
      <w:pPr>
        <w:pStyle w:val="Heading3"/>
      </w:pPr>
      <w:r>
        <w:t xml:space="preserve">Loose unordered list</w:t>
      </w:r>
    </w:p>
    <w:p>
      <w:pPr>
        <w:numPr>
          <w:ilvl w:val="0"/>
          <w:numId w:val="1003"/>
        </w:numPr>
      </w:pPr>
      <w:r>
        <w:t xml:space="preserve">Unidentified vessel travelling at sub warp speed, bearing 235.7. Fluctuations in energy readings from it, Captain.</w:t>
      </w:r>
    </w:p>
    <w:p>
      <w:pPr>
        <w:numPr>
          <w:ilvl w:val="0"/>
          <w:numId w:val="1000"/>
        </w:numPr>
      </w:pPr>
      <w:r>
        <w:t xml:space="preserve">Deflector power at maximum. Energy discharge in six seconds.</w:t>
      </w:r>
    </w:p>
    <w:p>
      <w:pPr>
        <w:numPr>
          <w:ilvl w:val="0"/>
          <w:numId w:val="1003"/>
        </w:numPr>
      </w:pPr>
      <w:r>
        <w:t xml:space="preserve">All transporters off.</w:t>
      </w:r>
    </w:p>
    <w:p>
      <w:pPr>
        <w:numPr>
          <w:ilvl w:val="0"/>
          <w:numId w:val="1003"/>
        </w:numPr>
      </w:pPr>
      <w:r>
        <w:t xml:space="preserve">The dark colourings of the scrapes are the leavings of natural rubber,</w:t>
      </w:r>
    </w:p>
    <w:p>
      <w:pPr>
        <w:pStyle w:val="Compact"/>
        <w:numPr>
          <w:ilvl w:val="1"/>
          <w:numId w:val="1004"/>
        </w:numPr>
      </w:pPr>
      <w:r>
        <w:t xml:space="preserve">a type of non-conductive sole used by researchers</w:t>
      </w:r>
    </w:p>
    <w:p>
      <w:pPr>
        <w:pStyle w:val="Compact"/>
        <w:numPr>
          <w:ilvl w:val="2"/>
          <w:numId w:val="1005"/>
        </w:numPr>
      </w:pPr>
      <w:r>
        <w:t xml:space="preserve">experimenting with electricity.</w:t>
      </w:r>
    </w:p>
    <w:p>
      <w:pPr>
        <w:pStyle w:val="Compact"/>
        <w:numPr>
          <w:ilvl w:val="1"/>
          <w:numId w:val="1004"/>
        </w:numPr>
      </w:pPr>
      <w:r>
        <w:t xml:space="preserve">The molecules must have been partly de-phased by the anyon beam.</w:t>
      </w:r>
    </w:p>
    <w:bookmarkEnd w:id="25"/>
    <w:bookmarkStart w:id="26" w:name="regular-compact-ordered-list"/>
    <w:p>
      <w:pPr>
        <w:pStyle w:val="Heading3"/>
      </w:pPr>
      <w:r>
        <w:t xml:space="preserve">Regular compact ordered list</w:t>
      </w:r>
    </w:p>
    <w:p>
      <w:pPr>
        <w:pStyle w:val="Compact"/>
        <w:numPr>
          <w:ilvl w:val="0"/>
          <w:numId w:val="1006"/>
        </w:numPr>
      </w:pPr>
      <w:r>
        <w:t xml:space="preserve">Lieutenant Julian Bashir</w:t>
      </w:r>
    </w:p>
    <w:p>
      <w:pPr>
        <w:pStyle w:val="Compact"/>
        <w:numPr>
          <w:ilvl w:val="0"/>
          <w:numId w:val="1006"/>
        </w:numPr>
      </w:pPr>
      <w:r>
        <w:t xml:space="preserve">Lieutenant junior grade Nog</w:t>
      </w:r>
    </w:p>
    <w:p>
      <w:pPr>
        <w:pStyle w:val="Compact"/>
        <w:numPr>
          <w:ilvl w:val="0"/>
          <w:numId w:val="1006"/>
        </w:numPr>
      </w:pPr>
      <w:r>
        <w:t xml:space="preserve">Senior Chief Petty Officer Miles O’Brien</w:t>
      </w:r>
    </w:p>
    <w:p>
      <w:pPr>
        <w:pStyle w:val="Compact"/>
        <w:numPr>
          <w:ilvl w:val="0"/>
          <w:numId w:val="1006"/>
        </w:numPr>
      </w:pPr>
      <w:r>
        <w:t xml:space="preserve">Constable Odo</w:t>
      </w:r>
    </w:p>
    <w:bookmarkEnd w:id="26"/>
    <w:bookmarkStart w:id="27" w:name="loose-ordered-list"/>
    <w:p>
      <w:pPr>
        <w:pStyle w:val="Heading3"/>
      </w:pPr>
      <w:r>
        <w:t xml:space="preserve">Loose ordered list</w:t>
      </w:r>
    </w:p>
    <w:p>
      <w:pPr>
        <w:numPr>
          <w:ilvl w:val="0"/>
          <w:numId w:val="1007"/>
        </w:numPr>
      </w:pPr>
      <w:r>
        <w:t xml:space="preserve">Unidentified vessel travelling at sub warp speed, bearing 235.7. Fluctuations in energy readings from it, Captain.</w:t>
      </w:r>
    </w:p>
    <w:p>
      <w:pPr>
        <w:numPr>
          <w:ilvl w:val="0"/>
          <w:numId w:val="1007"/>
        </w:numPr>
      </w:pPr>
      <w:r>
        <w:t xml:space="preserve">All transporters off.</w:t>
      </w:r>
    </w:p>
    <w:p>
      <w:pPr>
        <w:numPr>
          <w:ilvl w:val="0"/>
          <w:numId w:val="1007"/>
        </w:numPr>
      </w:pPr>
      <w:r>
        <w:t xml:space="preserve">The dark colourings of the scrapes are the leavings of natural rubber,</w:t>
      </w:r>
    </w:p>
    <w:p>
      <w:pPr>
        <w:pStyle w:val="Compact"/>
        <w:numPr>
          <w:ilvl w:val="1"/>
          <w:numId w:val="1008"/>
        </w:numPr>
      </w:pPr>
      <w:r>
        <w:t xml:space="preserve">a type of non-conductive sole used by researchers experimenting with electricity.</w:t>
      </w:r>
    </w:p>
    <w:p>
      <w:pPr>
        <w:pStyle w:val="Compact"/>
        <w:numPr>
          <w:ilvl w:val="1"/>
          <w:numId w:val="1008"/>
        </w:numPr>
      </w:pPr>
      <w:r>
        <w:t xml:space="preserve">The molecules must have been partly de-phased by the anyon beam.</w:t>
      </w:r>
    </w:p>
    <w:bookmarkEnd w:id="27"/>
    <w:bookmarkStart w:id="28" w:name="definition-lists"/>
    <w:p>
      <w:pPr>
        <w:pStyle w:val="Heading3"/>
      </w:pPr>
      <w:r>
        <w:t xml:space="preserve">Definition lists</w:t>
      </w:r>
    </w:p>
    <w:p>
      <w:pPr>
        <w:pStyle w:val="DefinitionTerm"/>
      </w:pPr>
      <w:r>
        <w:t xml:space="preserve">United Federation of Planets</w:t>
      </w:r>
    </w:p>
    <w:p>
      <w:pPr>
        <w:pStyle w:val="Definition"/>
      </w:pPr>
      <w:r>
        <w:t xml:space="preserve">The United Federation of Planets was a supranational interstellar union of multiple planetary constituent political entities operating semi-autonomously under a single central government founded on the principles of liberty, equality, peace, justice, and progress, with the purpose of furthering the universal rights and suffrage of all sentient life.</w:t>
      </w:r>
    </w:p>
    <w:p>
      <w:pPr>
        <w:pStyle w:val="DefinitionTerm"/>
      </w:pPr>
      <w:r>
        <w:t xml:space="preserve">The Klingon Empire</w:t>
      </w:r>
    </w:p>
    <w:p>
      <w:pPr>
        <w:pStyle w:val="Definition"/>
      </w:pPr>
      <w:r>
        <w:t xml:space="preserve">The Klingon Empire was the official state of the Klingon people.</w:t>
      </w:r>
    </w:p>
    <w:p>
      <w:pPr>
        <w:pStyle w:val="DefinitionTerm"/>
      </w:pPr>
      <w:r>
        <w:t xml:space="preserve">The Romulan Star Empire</w:t>
      </w:r>
    </w:p>
    <w:p>
      <w:pPr>
        <w:pStyle w:val="Definition"/>
      </w:pPr>
      <w:r>
        <w:t xml:space="preserve">The Romulan Star Empire (or Romulan Empire) was a major interstellar polity founded by the Romulan people and encompassing numerous member worlds and client states.</w:t>
      </w:r>
    </w:p>
    <w:p>
      <w:pPr>
        <w:pStyle w:val="Definition"/>
      </w:pPr>
      <w:r>
        <w:t xml:space="preserve">For much of its history, the Empire was one of the dominant powers of the Alpha and Beta Quadrants, maintaining a complex political system, advanced technology, and a far-reaching intelligence and diplomatic apparatus.</w:t>
      </w:r>
    </w:p>
    <w:bookmarkEnd w:id="28"/>
    <w:bookmarkEnd w:id="29"/>
    <w:bookmarkStart w:id="45" w:name="callouts"/>
    <w:p>
      <w:pPr>
        <w:pStyle w:val="Heading2"/>
      </w:pPr>
      <w:r>
        <w:t xml:space="preserve">Callouts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a note callout. Sensors indicate no shuttle or other ships in this sector. According to coordinates, we have travelled 7,000 light years and are located near the system J-25.</w:t>
            </w:r>
          </w:p>
          <w:p/>
        </w:tc>
      </w:tr>
    </w:tbl>
    <w:p>
      <w:pPr>
        <w:pStyle w:val="BodyText"/>
      </w:pPr>
      <w:r>
        <w:t xml:space="preserve">Here’s some text.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warning.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is a warning callout. Damage report? Sections 27, 28 and 29 on decks four, five and six destroyed. Without our shields, at this range it is probable a photon detonation could destroy the Enterprise.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This is an important callout. The wormhole’s size and short period would make this a local phenomenon.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tip.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This is a tip callout. The organisms fuse to the nerve, intertwining at the molecular level. That’s why the transporter’s biofilters couldn’t extract it.</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caution.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This is an important callout. The vertex waves show a K-complex corresponding to an REM state. The engineering section’s critical. Destruction is imminent. Their robes contain ultritium, highly explosive, virtually undetectable by your transporter.</w:t>
            </w:r>
          </w:p>
          <w:p/>
        </w:tc>
      </w:tr>
    </w:tbl>
    <w:bookmarkEnd w:id="45"/>
    <w:bookmarkEnd w:id="46"/>
    <w:bookmarkStart w:id="51" w:name="references"/>
    <w:p>
      <w:pPr>
        <w:pStyle w:val="Heading1"/>
      </w:pPr>
      <w:r>
        <w:t xml:space="preserve">References</w:t>
      </w:r>
    </w:p>
    <w:bookmarkStart w:id="50" w:name="refs"/>
    <w:bookmarkStart w:id="47" w:name="ref-Keynes:1937"/>
    <w:p>
      <w:pPr>
        <w:pStyle w:val="Bibliography"/>
      </w:pPr>
      <w:r>
        <w:t xml:space="preserve">Keynes, John Maynard. 1937.</w:t>
      </w:r>
      <w:r>
        <w:t xml:space="preserve"> </w:t>
      </w:r>
      <w:r>
        <w:t xml:space="preserve">“The General Theory of Employment.”</w:t>
      </w:r>
      <w:r>
        <w:t xml:space="preserve"> </w:t>
      </w:r>
      <w:r>
        <w:rPr>
          <w:i/>
          <w:iCs/>
        </w:rPr>
        <w:t xml:space="preserve">The Quarterly Journal of Economics</w:t>
      </w:r>
      <w:r>
        <w:t xml:space="preserve"> </w:t>
      </w:r>
      <w:r>
        <w:t xml:space="preserve">51 (2): 209–23.</w:t>
      </w:r>
    </w:p>
    <w:bookmarkEnd w:id="47"/>
    <w:bookmarkStart w:id="48" w:name="ref-Lovelace:1842"/>
    <w:p>
      <w:pPr>
        <w:pStyle w:val="Bibliography"/>
      </w:pPr>
      <w:r>
        <w:t xml:space="preserve">Lovelace, Augusta Ada. 1842.</w:t>
      </w:r>
      <w:r>
        <w:t xml:space="preserve"> </w:t>
      </w:r>
      <w:r>
        <w:t xml:space="preserve">“Sketch of the Analytical Engine Invented by</w:t>
      </w:r>
      <w:r>
        <w:t xml:space="preserve"> </w:t>
      </w:r>
      <w:r>
        <w:t xml:space="preserve">Charles Babbage</w:t>
      </w:r>
      <w:r>
        <w:t xml:space="preserve">, by</w:t>
      </w:r>
      <w:r>
        <w:t xml:space="preserve"> </w:t>
      </w:r>
      <w:r>
        <w:t xml:space="preserve">LF Menabrea</w:t>
      </w:r>
      <w:r>
        <w:t xml:space="preserve">, Officer of the Military Engineers, with Notes Upon the Memoir by the Translator.”</w:t>
      </w:r>
      <w:r>
        <w:t xml:space="preserve"> </w:t>
      </w:r>
      <w:r>
        <w:rPr>
          <w:i/>
          <w:iCs/>
        </w:rPr>
        <w:t xml:space="preserve">Taylor’s Scientific Memoirs</w:t>
      </w:r>
      <w:r>
        <w:t xml:space="preserve"> </w:t>
      </w:r>
      <w:r>
        <w:t xml:space="preserve">3: 666–731.</w:t>
      </w:r>
    </w:p>
    <w:bookmarkEnd w:id="48"/>
    <w:bookmarkStart w:id="49" w:name="ref-Turing:1936"/>
    <w:p>
      <w:pPr>
        <w:pStyle w:val="Bibliography"/>
      </w:pPr>
      <w:r>
        <w:t xml:space="preserve">Turing, Alan Mathison. 1936.</w:t>
      </w:r>
      <w:r>
        <w:t xml:space="preserve"> </w:t>
      </w:r>
      <w:r>
        <w:t xml:space="preserve">“On Computable Numbers, with an Application to the</w:t>
      </w:r>
      <w:r>
        <w:t xml:space="preserve"> </w:t>
      </w:r>
      <w:r>
        <w:t xml:space="preserve">Entscheidungsproblem</w:t>
      </w:r>
      <w:r>
        <w:t xml:space="preserve">.”</w:t>
      </w:r>
      <w:r>
        <w:t xml:space="preserve"> </w:t>
      </w:r>
      <w:r>
        <w:rPr>
          <w:i/>
          <w:iCs/>
        </w:rPr>
        <w:t xml:space="preserve">Journal of Math</w:t>
      </w:r>
      <w:r>
        <w:t xml:space="preserve"> </w:t>
      </w:r>
      <w:r>
        <w:t xml:space="preserve">58 (345-363): 230–65.</w:t>
      </w:r>
    </w:p>
    <w:bookmarkEnd w:id="49"/>
    <w:bookmarkEnd w:id="50"/>
    <w:bookmarkEnd w:id="51"/>
    <w:sectPr w:rsidR="0012211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Thing</w:t>
      </w:r>
    </w:p>
  </w:footnote>
  <w:footnote w:id="17">
    <w:p>
      <w:pPr>
        <w:pStyle w:val="FootnoteText"/>
      </w:pPr>
      <w:r>
        <w:rPr>
          <w:rStyle w:val="FootnoteReference"/>
        </w:rPr>
        <w:footnoteRef/>
      </w:r>
      <w:r>
        <w:t xml:space="preserve"> </w:t>
      </w:r>
      <w:r>
        <w:t xml:space="preserve">Another thing</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16cid:durableId="1697265735" w:numId="1">
    <w:abstractNumId w:val="10"/>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83263"/>
    <w:rsid w:val="00122113"/>
    <w:rsid w:val="004B30E0"/>
    <w:rsid w:val="00625F96"/>
    <w:rsid w:val="00826F97"/>
    <w:rsid w:val="00950616"/>
    <w:rsid w:val="00CA66A9"/>
    <w:rsid w:val="00F1135C"/>
    <w:rsid w:val="00F63C83"/>
    <w:rsid w:val="00F8326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A66A9"/>
    <w:pPr>
      <w:spacing w:after="0" w:line="432" w:lineRule="auto"/>
    </w:pPr>
    <w:rPr>
      <w:rFonts w:ascii="Times New Roman" w:hAnsi="Times New Roman"/>
    </w:rPr>
  </w:style>
  <w:style w:styleId="Heading1" w:type="paragraph">
    <w:name w:val="heading 1"/>
    <w:basedOn w:val="Normal"/>
    <w:next w:val="BodyText"/>
    <w:uiPriority w:val="9"/>
    <w:qFormat/>
    <w:rsid w:val="00CA66A9"/>
    <w:pPr>
      <w:keepNext/>
      <w:keepLines/>
      <w:spacing w:before="480"/>
      <w:jc w:val="center"/>
      <w:outlineLvl w:val="0"/>
    </w:pPr>
    <w:rPr>
      <w:rFonts w:cstheme="majorBidi" w:eastAsiaTheme="majorEastAsia"/>
      <w:b/>
      <w:bCs/>
      <w:color w:themeColor="text1" w:val="000000"/>
      <w:szCs w:val="32"/>
    </w:rPr>
  </w:style>
  <w:style w:styleId="Heading2" w:type="paragraph">
    <w:name w:val="heading 2"/>
    <w:basedOn w:val="Normal"/>
    <w:next w:val="BodyText"/>
    <w:uiPriority w:val="9"/>
    <w:unhideWhenUsed/>
    <w:qFormat/>
    <w:rsid w:val="004B30E0"/>
    <w:pPr>
      <w:keepNext/>
      <w:keepLines/>
      <w:spacing w:before="240"/>
      <w:outlineLvl w:val="1"/>
    </w:pPr>
    <w:rPr>
      <w:rFonts w:cstheme="majorBidi" w:eastAsiaTheme="majorEastAsia"/>
      <w:b/>
      <w:bCs/>
      <w:szCs w:val="28"/>
    </w:rPr>
  </w:style>
  <w:style w:styleId="Heading3" w:type="paragraph">
    <w:name w:val="heading 3"/>
    <w:basedOn w:val="Normal"/>
    <w:next w:val="BodyText"/>
    <w:uiPriority w:val="9"/>
    <w:unhideWhenUsed/>
    <w:qFormat/>
    <w:rsid w:val="004B30E0"/>
    <w:pPr>
      <w:keepNext/>
      <w:keepLines/>
      <w:outlineLvl w:val="2"/>
    </w:pPr>
    <w:rPr>
      <w:rFonts w:cstheme="majorBidi" w:eastAsiaTheme="majorEastAsia"/>
      <w:b/>
      <w:bCs/>
      <w:i/>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F1135C"/>
    <w:pPr>
      <w:ind w:firstLine="720"/>
    </w:pPr>
  </w:style>
  <w:style w:customStyle="1" w:styleId="FirstParagraph" w:type="paragraph">
    <w:name w:val="First Paragraph"/>
    <w:basedOn w:val="BodyText"/>
    <w:next w:val="BodyText"/>
    <w:qFormat/>
    <w:rsid w:val="00F1135C"/>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CA66A9"/>
    <w:pPr>
      <w:keepNext/>
      <w:keepLines/>
      <w:jc w:val="center"/>
    </w:pPr>
    <w:rPr>
      <w:rFonts w:cstheme="majorBidi" w:eastAsiaTheme="majorEastAsia"/>
      <w:b/>
      <w:bCs/>
      <w:color w:themeColor="text1" w:val="000000"/>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F1135C"/>
    <w:rPr>
      <w:rFonts w:ascii="Times New Roman" w:hAnsi="Times New Roman"/>
    </w:rPr>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11" Target="media/rId11.png" /><Relationship Type="http://schemas.openxmlformats.org/officeDocument/2006/relationships/hyperlink" Id="rId52" Target="https://git.starfleet.ufp/bashir/cranial-implants" TargetMode="External" /><Relationship Type="http://schemas.openxmlformats.org/officeDocument/2006/relationships/hyperlink" Id="rId9" Target="https://memory-alpha.fandom.com/wiki/Fermat%27s_last_theorem" TargetMode="External" /><Relationship Type="http://schemas.openxmlformats.org/officeDocument/2006/relationships/hyperlink" Id="rId53" Target="https://vlad-saling.github.io/star-trek-ipsum/" TargetMode="External" /></Relationships>
</file>

<file path=word/_rels/footnotes.xml.rels><?xml version="1.0" encoding="UTF-8"?><Relationships xmlns="http://schemas.openxmlformats.org/package/2006/relationships"><Relationship Type="http://schemas.openxmlformats.org/officeDocument/2006/relationships/hyperlink" Id="rId52" Target="https://git.starfleet.ufp/bashir/cranial-implants" TargetMode="External" /><Relationship Type="http://schemas.openxmlformats.org/officeDocument/2006/relationships/hyperlink" Id="rId9" Target="https://memory-alpha.fandom.com/wiki/Fermat%27s_last_theorem" TargetMode="External" /><Relationship Type="http://schemas.openxmlformats.org/officeDocument/2006/relationships/hyperlink" Id="rId53" Target="https://vlad-saling.github.io/star-trek-ips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Surgical Removal of Cardassian Cranial Implants</dc:title>
  <dc:creator>Julian Bashir; Elim Garak</dc:creator>
  <cp:keywords>surgery, espionage, brains</cp:keywords>
  <dcterms:created xsi:type="dcterms:W3CDTF">2026-05-11T14:50:11Z</dcterms:created>
  <dcterms:modified xsi:type="dcterms:W3CDTF">2026-05-11T14:50:11Z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Space: the final frontier. These are the voyages of the starship Enterprise. Its continuing mission: to explore strange new worlds. To seek out new life and new civilizations. To boldly go where no one has gone before!</vt:lpwstr>
  </property>
  <property fmtid="{D5CDD505-2E9C-101B-9397-08002B2CF9AE}" pid="3" name="additional-info">
    <vt:lpwstr>We have no known conflict of interest to disclose.</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ode-repo">
    <vt:lpwstr>Access the code, data, and analysis at https://git.starfleet.ufp/bashir/cranial-implants</vt:lpwstr>
  </property>
  <property fmtid="{D5CDD505-2E9C-101B-9397-08002B2CF9AE}" pid="11" name="correspondence-prefix">
    <vt:lpwstr>Correspondence concerning this article should be addressed to</vt:lpwstr>
  </property>
  <property fmtid="{D5CDD505-2E9C-101B-9397-08002B2CF9AE}" pid="12" name="date">
    <vt:lpwstr>Sunday, May 10, 2026</vt:lpwstr>
  </property>
  <property fmtid="{D5CDD505-2E9C-101B-9397-08002B2CF9AE}" pid="13" name="date-format">
    <vt:lpwstr>full</vt:lpwstr>
  </property>
  <property fmtid="{D5CDD505-2E9C-101B-9397-08002B2CF9AE}" pid="14" name="engines">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published">
    <vt:lpwstr>Under review at Starfleet Medical Journal</vt:lpwstr>
  </property>
  <property fmtid="{D5CDD505-2E9C-101B-9397-08002B2CF9AE}" pid="21" name="revealjs-plugins">
    <vt:lpwstr/>
  </property>
  <property fmtid="{D5CDD505-2E9C-101B-9397-08002B2CF9AE}" pid="22" name="short-title">
    <vt:lpwstr>Cranial Implants</vt:lpwstr>
  </property>
  <property fmtid="{D5CDD505-2E9C-101B-9397-08002B2CF9AE}" pid="23" name="subtitle">
    <vt:lpwstr>A case study of a Cardassian patient</vt:lpwstr>
  </property>
  <property fmtid="{D5CDD505-2E9C-101B-9397-08002B2CF9AE}" pid="24" name="thanks">
    <vt:lpwstr>Placeholder text generated at https://vlad-saling.github.io/star-trek-ipsum/.</vt:lpwstr>
  </property>
  <property fmtid="{D5CDD505-2E9C-101B-9397-08002B2CF9AE}" pid="25" name="toc-title">
    <vt:lpwstr>Table of contents</vt:lpwstr>
  </property>
</Properties>
</file>