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9E277" w14:textId="0E88561C" w:rsidR="00012657" w:rsidRPr="00CB6976" w:rsidRDefault="00140D87">
      <w:pPr>
        <w:rPr>
          <w:b/>
        </w:rPr>
      </w:pPr>
      <w:r w:rsidRPr="00CB6976">
        <w:rPr>
          <w:b/>
        </w:rPr>
        <w:t>WHO daily data</w:t>
      </w:r>
    </w:p>
    <w:p w14:paraId="6D55A6D5" w14:textId="28EC8860" w:rsidR="00140D87" w:rsidRDefault="00140D87">
      <w:r>
        <w:t>1-3-2020 (WHO collection start date) through 6-30-2021</w:t>
      </w:r>
    </w:p>
    <w:p w14:paraId="15389728" w14:textId="38445DDB" w:rsidR="00124E5A" w:rsidRDefault="00124E5A">
      <w:r>
        <w:t xml:space="preserve">Data available at </w:t>
      </w:r>
      <w:hyperlink r:id="rId5" w:history="1">
        <w:r w:rsidRPr="00133420">
          <w:rPr>
            <w:rStyle w:val="Hyperlink"/>
          </w:rPr>
          <w:t>https://covid19.who.int/data</w:t>
        </w:r>
      </w:hyperlink>
      <w:r>
        <w:t xml:space="preserve"> </w:t>
      </w:r>
    </w:p>
    <w:p w14:paraId="50A91D59" w14:textId="0217C2DB" w:rsidR="00124E5A" w:rsidRPr="00124E5A" w:rsidRDefault="00124E5A">
      <w:pPr>
        <w:rPr>
          <w:rFonts w:cstheme="minorHAnsi"/>
          <w:b/>
        </w:rPr>
      </w:pPr>
      <w:r w:rsidRPr="00124E5A">
        <w:rPr>
          <w:rFonts w:cstheme="minorHAnsi"/>
          <w:b/>
        </w:rPr>
        <w:t>Variables: (These are all national level)</w:t>
      </w:r>
    </w:p>
    <w:p w14:paraId="3ECA457C" w14:textId="7FCAE22E" w:rsidR="00124E5A" w:rsidRPr="00124E5A" w:rsidRDefault="00124E5A">
      <w:pPr>
        <w:rPr>
          <w:rFonts w:cstheme="minorHAnsi"/>
          <w:i/>
          <w:color w:val="000000"/>
        </w:rPr>
      </w:pPr>
      <w:r w:rsidRPr="00124E5A">
        <w:rPr>
          <w:rFonts w:cstheme="minorHAnsi"/>
          <w:i/>
          <w:color w:val="000000"/>
        </w:rPr>
        <w:t>Date Reported: Date of reporting to WHO</w:t>
      </w:r>
    </w:p>
    <w:p w14:paraId="255401C3" w14:textId="3BF26BBF" w:rsidR="00124E5A" w:rsidRPr="00124E5A" w:rsidRDefault="00124E5A">
      <w:pPr>
        <w:rPr>
          <w:rFonts w:cstheme="minorHAnsi"/>
          <w:i/>
          <w:color w:val="000000"/>
        </w:rPr>
      </w:pPr>
      <w:proofErr w:type="spellStart"/>
      <w:r w:rsidRPr="00124E5A">
        <w:rPr>
          <w:rFonts w:cstheme="minorHAnsi"/>
          <w:i/>
          <w:color w:val="000000"/>
        </w:rPr>
        <w:t>Country_Code</w:t>
      </w:r>
      <w:proofErr w:type="spellEnd"/>
      <w:r w:rsidRPr="00124E5A">
        <w:rPr>
          <w:rFonts w:cstheme="minorHAnsi"/>
          <w:i/>
          <w:color w:val="000000"/>
        </w:rPr>
        <w:t xml:space="preserve"> WHO letter Country Code</w:t>
      </w:r>
    </w:p>
    <w:p w14:paraId="5D0295B9" w14:textId="02AD09A0" w:rsidR="00124E5A" w:rsidRPr="00124E5A" w:rsidRDefault="00124E5A">
      <w:pPr>
        <w:rPr>
          <w:rFonts w:cstheme="minorHAnsi"/>
          <w:i/>
          <w:color w:val="000000"/>
        </w:rPr>
      </w:pPr>
      <w:r w:rsidRPr="00124E5A">
        <w:rPr>
          <w:rFonts w:cstheme="minorHAnsi"/>
          <w:i/>
          <w:color w:val="000000"/>
        </w:rPr>
        <w:t>Country: Country name</w:t>
      </w:r>
    </w:p>
    <w:p w14:paraId="4356EC76" w14:textId="3CB00D62" w:rsidR="00124E5A" w:rsidRPr="00124E5A" w:rsidRDefault="00124E5A">
      <w:pPr>
        <w:rPr>
          <w:rFonts w:cstheme="minorHAnsi"/>
        </w:rPr>
      </w:pPr>
      <w:r w:rsidRPr="00124E5A">
        <w:rPr>
          <w:rFonts w:cstheme="minorHAnsi"/>
        </w:rPr>
        <w:t>COW Country Codes (</w:t>
      </w:r>
      <w:proofErr w:type="spellStart"/>
      <w:r w:rsidRPr="00124E5A">
        <w:rPr>
          <w:rFonts w:cstheme="minorHAnsi"/>
        </w:rPr>
        <w:t>COWCode</w:t>
      </w:r>
      <w:proofErr w:type="spellEnd"/>
      <w:r w:rsidRPr="00124E5A">
        <w:rPr>
          <w:rFonts w:cstheme="minorHAnsi"/>
        </w:rPr>
        <w:t xml:space="preserve">) </w:t>
      </w:r>
      <w:r>
        <w:rPr>
          <w:rFonts w:cstheme="minorHAnsi"/>
        </w:rPr>
        <w:t xml:space="preserve">I added in COW Codes from </w:t>
      </w:r>
      <w:hyperlink r:id="rId6" w:history="1">
        <w:r w:rsidRPr="00133420">
          <w:rPr>
            <w:rStyle w:val="Hyperlink"/>
            <w:rFonts w:cstheme="minorHAnsi"/>
          </w:rPr>
          <w:t>https://correlatesofwar.org/data-sets/cow-country-codes</w:t>
        </w:r>
      </w:hyperlink>
      <w:r>
        <w:rPr>
          <w:rFonts w:cstheme="minorHAnsi"/>
        </w:rPr>
        <w:t xml:space="preserve"> </w:t>
      </w:r>
    </w:p>
    <w:p w14:paraId="649AF345" w14:textId="740D56DD" w:rsidR="00124E5A" w:rsidRPr="00124E5A" w:rsidRDefault="00124E5A">
      <w:pPr>
        <w:rPr>
          <w:rFonts w:cstheme="minorHAnsi"/>
          <w:b/>
        </w:rPr>
      </w:pPr>
      <w:proofErr w:type="spellStart"/>
      <w:r w:rsidRPr="00124E5A">
        <w:rPr>
          <w:rFonts w:cstheme="minorHAnsi"/>
          <w:i/>
          <w:color w:val="000000"/>
        </w:rPr>
        <w:t>WHO_region</w:t>
      </w:r>
      <w:proofErr w:type="spellEnd"/>
      <w:r w:rsidRPr="00124E5A">
        <w:rPr>
          <w:rFonts w:cstheme="minorHAnsi"/>
          <w:i/>
          <w:color w:val="000000"/>
        </w:rPr>
        <w:t>:</w:t>
      </w:r>
      <w:r w:rsidRPr="00124E5A">
        <w:rPr>
          <w:rFonts w:cstheme="minorHAnsi"/>
          <w:color w:val="000000"/>
        </w:rPr>
        <w:t xml:space="preserve"> WHO regional offices: WHO Member States are grouped into six WHO regions -- Regional Office for Africa (AFRO), Regional Office for the Americas (AMRO), Regional Office for South-East Asia (SEARO), Regional Office for Europe (EURO), Regional Office for the Eastern Mediterranean (EMRO), and Regional Office for the Western Pacific (WPRO)</w:t>
      </w:r>
    </w:p>
    <w:p w14:paraId="28FE5976" w14:textId="10A7D381" w:rsidR="00124E5A" w:rsidRPr="00124E5A" w:rsidRDefault="00124E5A">
      <w:pPr>
        <w:rPr>
          <w:rFonts w:cstheme="minorHAnsi"/>
        </w:rPr>
      </w:pPr>
      <w:r w:rsidRPr="00124E5A">
        <w:rPr>
          <w:rFonts w:cstheme="minorHAnsi"/>
          <w:i/>
        </w:rPr>
        <w:t>New Cases:</w:t>
      </w:r>
      <w:r w:rsidRPr="00124E5A">
        <w:rPr>
          <w:rFonts w:cstheme="minorHAnsi"/>
        </w:rPr>
        <w:t xml:space="preserve"> New confirmed cases. Calculated by subtracting previous cumulative case count from current cumulative cases count.</w:t>
      </w:r>
    </w:p>
    <w:p w14:paraId="00913B46" w14:textId="44DEF5EB" w:rsidR="00124E5A" w:rsidRPr="00124E5A" w:rsidRDefault="00124E5A">
      <w:pPr>
        <w:rPr>
          <w:rFonts w:cstheme="minorHAnsi"/>
        </w:rPr>
      </w:pPr>
      <w:r w:rsidRPr="00124E5A">
        <w:rPr>
          <w:rFonts w:cstheme="minorHAnsi"/>
          <w:i/>
        </w:rPr>
        <w:t>Cumulative Cases:</w:t>
      </w:r>
      <w:r w:rsidRPr="00124E5A">
        <w:rPr>
          <w:rFonts w:cstheme="minorHAnsi"/>
        </w:rPr>
        <w:t xml:space="preserve"> Cumulative confirmed cases reported to </w:t>
      </w:r>
      <w:proofErr w:type="gramStart"/>
      <w:r w:rsidRPr="00124E5A">
        <w:rPr>
          <w:rFonts w:cstheme="minorHAnsi"/>
        </w:rPr>
        <w:t>WHO</w:t>
      </w:r>
      <w:proofErr w:type="gramEnd"/>
      <w:r w:rsidRPr="00124E5A">
        <w:rPr>
          <w:rFonts w:cstheme="minorHAnsi"/>
        </w:rPr>
        <w:t xml:space="preserve"> to date</w:t>
      </w:r>
    </w:p>
    <w:p w14:paraId="050C2611" w14:textId="0DA6E930" w:rsidR="00124E5A" w:rsidRPr="00124E5A" w:rsidRDefault="00124E5A">
      <w:pPr>
        <w:rPr>
          <w:rFonts w:cstheme="minorHAnsi"/>
        </w:rPr>
      </w:pPr>
      <w:r w:rsidRPr="00124E5A">
        <w:rPr>
          <w:rFonts w:cstheme="minorHAnsi"/>
          <w:i/>
        </w:rPr>
        <w:t>New Deaths:</w:t>
      </w:r>
      <w:r w:rsidRPr="00124E5A">
        <w:rPr>
          <w:rFonts w:cstheme="minorHAnsi"/>
        </w:rPr>
        <w:t xml:space="preserve"> New confirmed deaths. Calculated by subtracting previous cumulative deaths from current cumulative deaths.</w:t>
      </w:r>
    </w:p>
    <w:p w14:paraId="03638186" w14:textId="31D15D3F" w:rsidR="00124E5A" w:rsidRPr="00124E5A" w:rsidRDefault="00124E5A">
      <w:pPr>
        <w:rPr>
          <w:rFonts w:cstheme="minorHAnsi"/>
        </w:rPr>
      </w:pPr>
      <w:r w:rsidRPr="00124E5A">
        <w:rPr>
          <w:rFonts w:cstheme="minorHAnsi"/>
          <w:i/>
        </w:rPr>
        <w:t>Cumulative Deaths:</w:t>
      </w:r>
      <w:r w:rsidRPr="00124E5A">
        <w:rPr>
          <w:rFonts w:cstheme="minorHAnsi"/>
        </w:rPr>
        <w:t xml:space="preserve"> Cumulative confirmed deaths reported to </w:t>
      </w:r>
      <w:proofErr w:type="gramStart"/>
      <w:r w:rsidRPr="00124E5A">
        <w:rPr>
          <w:rFonts w:cstheme="minorHAnsi"/>
        </w:rPr>
        <w:t>WHO</w:t>
      </w:r>
      <w:proofErr w:type="gramEnd"/>
      <w:r w:rsidRPr="00124E5A">
        <w:rPr>
          <w:rFonts w:cstheme="minorHAnsi"/>
        </w:rPr>
        <w:t xml:space="preserve"> to date</w:t>
      </w:r>
    </w:p>
    <w:p w14:paraId="0306468B" w14:textId="355E6A10" w:rsidR="00124E5A" w:rsidRDefault="00124E5A"/>
    <w:p w14:paraId="0F9D437D" w14:textId="3B38351B" w:rsidR="00140D87" w:rsidRDefault="00140D87">
      <w:r>
        <w:t>Removed “other”</w:t>
      </w:r>
      <w:r w:rsidR="0076055F">
        <w:t xml:space="preserve"> </w:t>
      </w:r>
      <w:r>
        <w:t>observations not assigned to any country</w:t>
      </w:r>
    </w:p>
    <w:p w14:paraId="401A2BF4" w14:textId="604F1064" w:rsidR="00140D87" w:rsidRDefault="00140D87">
      <w:r>
        <w:t>Removed non-states</w:t>
      </w:r>
    </w:p>
    <w:p w14:paraId="5434A50B" w14:textId="15E01905" w:rsidR="00140D87" w:rsidRDefault="00140D87" w:rsidP="00140D87">
      <w:pPr>
        <w:pStyle w:val="ListParagraph"/>
        <w:numPr>
          <w:ilvl w:val="0"/>
          <w:numId w:val="1"/>
        </w:numPr>
      </w:pPr>
      <w:r>
        <w:t>Falkland Islands</w:t>
      </w:r>
    </w:p>
    <w:p w14:paraId="512C8C30" w14:textId="36AC1034" w:rsidR="00140D87" w:rsidRDefault="00140D87" w:rsidP="00140D87">
      <w:pPr>
        <w:pStyle w:val="ListParagraph"/>
        <w:numPr>
          <w:ilvl w:val="0"/>
          <w:numId w:val="1"/>
        </w:numPr>
      </w:pPr>
      <w:r>
        <w:t>Fore Islands</w:t>
      </w:r>
    </w:p>
    <w:p w14:paraId="01F675C8" w14:textId="2E7333DA" w:rsidR="002E3530" w:rsidRDefault="002E3530" w:rsidP="00140D87">
      <w:pPr>
        <w:pStyle w:val="ListParagraph"/>
        <w:numPr>
          <w:ilvl w:val="0"/>
          <w:numId w:val="1"/>
        </w:numPr>
      </w:pPr>
      <w:r w:rsidRPr="002E3530">
        <w:t>Guernsey</w:t>
      </w:r>
    </w:p>
    <w:p w14:paraId="149903B8" w14:textId="66A9B2B8" w:rsidR="002E3530" w:rsidRDefault="002E3530" w:rsidP="00140D87">
      <w:pPr>
        <w:pStyle w:val="ListParagraph"/>
        <w:numPr>
          <w:ilvl w:val="0"/>
          <w:numId w:val="1"/>
        </w:numPr>
      </w:pPr>
      <w:r>
        <w:t>Guam</w:t>
      </w:r>
    </w:p>
    <w:p w14:paraId="173A33FC" w14:textId="05A83DD3" w:rsidR="002E3530" w:rsidRDefault="002E3530" w:rsidP="00140D87">
      <w:pPr>
        <w:pStyle w:val="ListParagraph"/>
        <w:numPr>
          <w:ilvl w:val="0"/>
          <w:numId w:val="1"/>
        </w:numPr>
      </w:pPr>
      <w:r>
        <w:t xml:space="preserve">Isle of Man </w:t>
      </w:r>
    </w:p>
    <w:p w14:paraId="22588B77" w14:textId="706B53BA" w:rsidR="002E3530" w:rsidRDefault="002E3530" w:rsidP="00140D87">
      <w:pPr>
        <w:pStyle w:val="ListParagraph"/>
        <w:numPr>
          <w:ilvl w:val="0"/>
          <w:numId w:val="1"/>
        </w:numPr>
      </w:pPr>
      <w:r w:rsidRPr="002E3530">
        <w:t>Jersey</w:t>
      </w:r>
    </w:p>
    <w:p w14:paraId="6077F6D0" w14:textId="436745B8" w:rsidR="004406FE" w:rsidRDefault="004406FE" w:rsidP="00140D87">
      <w:pPr>
        <w:pStyle w:val="ListParagraph"/>
        <w:numPr>
          <w:ilvl w:val="0"/>
          <w:numId w:val="1"/>
        </w:numPr>
      </w:pPr>
      <w:r w:rsidRPr="004406FE">
        <w:t>Saint Pierre and Miquelon</w:t>
      </w:r>
    </w:p>
    <w:p w14:paraId="6BEA7836" w14:textId="2124BBDF" w:rsidR="004406FE" w:rsidRDefault="004406FE" w:rsidP="00140D87">
      <w:pPr>
        <w:pStyle w:val="ListParagraph"/>
        <w:numPr>
          <w:ilvl w:val="0"/>
          <w:numId w:val="1"/>
        </w:numPr>
      </w:pPr>
      <w:r w:rsidRPr="004406FE">
        <w:t>Pitcairn Islands</w:t>
      </w:r>
    </w:p>
    <w:p w14:paraId="1948271E" w14:textId="52B0B5C6" w:rsidR="004406FE" w:rsidRDefault="004406FE" w:rsidP="00140D87">
      <w:pPr>
        <w:pStyle w:val="ListParagraph"/>
        <w:numPr>
          <w:ilvl w:val="0"/>
          <w:numId w:val="1"/>
        </w:numPr>
      </w:pPr>
      <w:r w:rsidRPr="004406FE">
        <w:t>Puerto Rico</w:t>
      </w:r>
    </w:p>
    <w:p w14:paraId="603A4C9D" w14:textId="28CF98A1" w:rsidR="004406FE" w:rsidRDefault="004406FE" w:rsidP="00140D87">
      <w:pPr>
        <w:pStyle w:val="ListParagraph"/>
        <w:numPr>
          <w:ilvl w:val="0"/>
          <w:numId w:val="1"/>
        </w:numPr>
      </w:pPr>
      <w:r>
        <w:t>Reunion Island</w:t>
      </w:r>
    </w:p>
    <w:p w14:paraId="3F1F140F" w14:textId="7A5F64DF" w:rsidR="004406FE" w:rsidRDefault="004406FE" w:rsidP="00140D87">
      <w:pPr>
        <w:pStyle w:val="ListParagraph"/>
        <w:numPr>
          <w:ilvl w:val="0"/>
          <w:numId w:val="1"/>
        </w:numPr>
      </w:pPr>
      <w:r w:rsidRPr="004406FE">
        <w:t>Tokelau</w:t>
      </w:r>
    </w:p>
    <w:p w14:paraId="38ADBE2A" w14:textId="611CDBC8" w:rsidR="0094267E" w:rsidRDefault="0094267E" w:rsidP="00140D87">
      <w:pPr>
        <w:pStyle w:val="ListParagraph"/>
        <w:numPr>
          <w:ilvl w:val="0"/>
          <w:numId w:val="1"/>
        </w:numPr>
      </w:pPr>
      <w:r w:rsidRPr="0094267E">
        <w:t>Holy See</w:t>
      </w:r>
    </w:p>
    <w:p w14:paraId="2B2881DE" w14:textId="54576510" w:rsidR="0094267E" w:rsidRDefault="0094267E" w:rsidP="00140D87">
      <w:pPr>
        <w:pStyle w:val="ListParagraph"/>
        <w:numPr>
          <w:ilvl w:val="0"/>
          <w:numId w:val="1"/>
        </w:numPr>
      </w:pPr>
      <w:r w:rsidRPr="0094267E">
        <w:t>Wallis and Futuna</w:t>
      </w:r>
    </w:p>
    <w:p w14:paraId="37CD0795" w14:textId="440E0AAD" w:rsidR="0094267E" w:rsidRDefault="0094267E" w:rsidP="00140D87">
      <w:pPr>
        <w:pStyle w:val="ListParagraph"/>
        <w:numPr>
          <w:ilvl w:val="0"/>
          <w:numId w:val="1"/>
        </w:numPr>
      </w:pPr>
      <w:r w:rsidRPr="0094267E">
        <w:lastRenderedPageBreak/>
        <w:t>Bonaire</w:t>
      </w:r>
    </w:p>
    <w:p w14:paraId="69BC5C65" w14:textId="7E05C6BD" w:rsidR="0076055F" w:rsidRDefault="0076055F" w:rsidP="00140D87">
      <w:pPr>
        <w:pStyle w:val="ListParagraph"/>
        <w:numPr>
          <w:ilvl w:val="0"/>
          <w:numId w:val="1"/>
        </w:numPr>
      </w:pPr>
      <w:r w:rsidRPr="0076055F">
        <w:t>Sint Eustatius</w:t>
      </w:r>
    </w:p>
    <w:p w14:paraId="3EA643B6" w14:textId="6DED136A" w:rsidR="0076055F" w:rsidRDefault="0076055F" w:rsidP="00140D87">
      <w:pPr>
        <w:pStyle w:val="ListParagraph"/>
        <w:numPr>
          <w:ilvl w:val="0"/>
          <w:numId w:val="1"/>
        </w:numPr>
      </w:pPr>
      <w:r>
        <w:t>Saba</w:t>
      </w:r>
    </w:p>
    <w:p w14:paraId="3B0EB6AE" w14:textId="0B25AFC7" w:rsidR="0076055F" w:rsidRDefault="0076055F" w:rsidP="00140D87">
      <w:pPr>
        <w:pStyle w:val="ListParagraph"/>
        <w:numPr>
          <w:ilvl w:val="0"/>
          <w:numId w:val="1"/>
        </w:numPr>
      </w:pPr>
      <w:r w:rsidRPr="0076055F">
        <w:t>Mayotte</w:t>
      </w:r>
    </w:p>
    <w:p w14:paraId="3FD52D73" w14:textId="3535FA5D" w:rsidR="00EB34BF" w:rsidRDefault="00EB34BF" w:rsidP="00140D87">
      <w:pPr>
        <w:pStyle w:val="ListParagraph"/>
        <w:numPr>
          <w:ilvl w:val="0"/>
          <w:numId w:val="1"/>
        </w:numPr>
      </w:pPr>
      <w:r>
        <w:t xml:space="preserve">Gibraltar </w:t>
      </w:r>
    </w:p>
    <w:p w14:paraId="72D293E7" w14:textId="787215A0" w:rsidR="00E66530" w:rsidRDefault="00E66530" w:rsidP="00140D87">
      <w:pPr>
        <w:pStyle w:val="ListParagraph"/>
        <w:numPr>
          <w:ilvl w:val="0"/>
          <w:numId w:val="1"/>
        </w:numPr>
      </w:pPr>
      <w:r>
        <w:t>Greenland</w:t>
      </w:r>
    </w:p>
    <w:p w14:paraId="4BB494A9" w14:textId="1A6C28EA" w:rsidR="00E66530" w:rsidRDefault="00E66530" w:rsidP="00140D87">
      <w:pPr>
        <w:pStyle w:val="ListParagraph"/>
        <w:numPr>
          <w:ilvl w:val="0"/>
          <w:numId w:val="1"/>
        </w:numPr>
      </w:pPr>
      <w:r>
        <w:t xml:space="preserve">Guadeloupe </w:t>
      </w:r>
    </w:p>
    <w:p w14:paraId="1D15B65F" w14:textId="77777777" w:rsidR="00A348F8" w:rsidRDefault="00A348F8">
      <w:pPr>
        <w:rPr>
          <w:b/>
        </w:rPr>
      </w:pPr>
    </w:p>
    <w:p w14:paraId="2B1E71DA" w14:textId="5FDF859D" w:rsidR="00140D87" w:rsidRDefault="00CB6976">
      <w:pPr>
        <w:rPr>
          <w:b/>
        </w:rPr>
      </w:pPr>
      <w:r w:rsidRPr="00CB6976">
        <w:rPr>
          <w:b/>
        </w:rPr>
        <w:t>Derogations Data</w:t>
      </w:r>
    </w:p>
    <w:p w14:paraId="075D5684" w14:textId="7A746F52" w:rsidR="00A348F8" w:rsidRPr="00A348F8" w:rsidRDefault="00A348F8">
      <w:r w:rsidRPr="00A348F8">
        <w:t xml:space="preserve">Based on reading the texts of ICCPR derogations at the UN Treaty Collection </w:t>
      </w:r>
      <w:proofErr w:type="gramStart"/>
      <w:r w:rsidRPr="00A348F8">
        <w:t xml:space="preserve">site  </w:t>
      </w:r>
      <w:proofErr w:type="gramEnd"/>
      <w:r w:rsidRPr="00A348F8">
        <w:fldChar w:fldCharType="begin"/>
      </w:r>
      <w:r w:rsidRPr="00A348F8">
        <w:instrText xml:space="preserve"> HYPERLINK "https://treaties.un.org/" </w:instrText>
      </w:r>
      <w:r w:rsidRPr="00A348F8">
        <w:fldChar w:fldCharType="separate"/>
      </w:r>
      <w:r w:rsidRPr="00A348F8">
        <w:rPr>
          <w:rStyle w:val="Hyperlink"/>
        </w:rPr>
        <w:t>https://treaties.un.org/</w:t>
      </w:r>
      <w:r w:rsidRPr="00A348F8">
        <w:fldChar w:fldCharType="end"/>
      </w:r>
      <w:r w:rsidRPr="00A348F8">
        <w:t xml:space="preserve"> </w:t>
      </w:r>
    </w:p>
    <w:p w14:paraId="266F2889" w14:textId="2BCCDEFD" w:rsidR="00CB6976" w:rsidRDefault="00CB6976">
      <w:r w:rsidRPr="00CB6976">
        <w:rPr>
          <w:i/>
        </w:rPr>
        <w:t>ICCPR Derogation Filed:</w:t>
      </w:r>
      <w:r>
        <w:t xml:space="preserve"> Date that derogation notice </w:t>
      </w:r>
      <w:proofErr w:type="gramStart"/>
      <w:r>
        <w:t>was filed/received</w:t>
      </w:r>
      <w:proofErr w:type="gramEnd"/>
      <w:r>
        <w:t xml:space="preserve"> by the UN.  This is dichotomous coding </w:t>
      </w:r>
      <w:proofErr w:type="gramStart"/>
      <w:r>
        <w:t>1</w:t>
      </w:r>
      <w:proofErr w:type="gramEnd"/>
      <w:r>
        <w:t xml:space="preserve"> for the date and 0 all others.</w:t>
      </w:r>
    </w:p>
    <w:p w14:paraId="6D9349E7" w14:textId="2DBF73A5" w:rsidR="00CB6976" w:rsidRDefault="00CB6976">
      <w:r w:rsidRPr="00CB6976">
        <w:rPr>
          <w:i/>
        </w:rPr>
        <w:t>Derogation Start:</w:t>
      </w:r>
      <w:r>
        <w:t xml:space="preserve"> This is the date noted within the derogation text of when the emergency provisions and suspension of rights starts.  Dichotomous coding </w:t>
      </w:r>
      <w:proofErr w:type="gramStart"/>
      <w:r>
        <w:t>1</w:t>
      </w:r>
      <w:proofErr w:type="gramEnd"/>
      <w:r>
        <w:t xml:space="preserve"> on the start date and 0 all others.</w:t>
      </w:r>
    </w:p>
    <w:p w14:paraId="24C44F78" w14:textId="104ADAB9" w:rsidR="00CB6976" w:rsidRDefault="00CB6976">
      <w:r w:rsidRPr="00CB6976">
        <w:rPr>
          <w:i/>
        </w:rPr>
        <w:t>Derogation in effect:</w:t>
      </w:r>
      <w:r>
        <w:t xml:space="preserve"> This is coding </w:t>
      </w:r>
      <w:proofErr w:type="gramStart"/>
      <w:r>
        <w:t>1</w:t>
      </w:r>
      <w:proofErr w:type="gramEnd"/>
      <w:r>
        <w:t xml:space="preserve"> for all days noted that the derogation was in effect. </w:t>
      </w:r>
    </w:p>
    <w:p w14:paraId="22B59B3D" w14:textId="34AFA58A" w:rsidR="00CB6976" w:rsidRDefault="00CB6976">
      <w:r w:rsidRPr="00CB6976">
        <w:rPr>
          <w:i/>
        </w:rPr>
        <w:t>Derogation end: This</w:t>
      </w:r>
      <w:r>
        <w:t xml:space="preserve"> is the date noted within the derogation text of when emergency provisions stop and rights observances resume.  Dichotomous coding </w:t>
      </w:r>
      <w:proofErr w:type="gramStart"/>
      <w:r>
        <w:t>1</w:t>
      </w:r>
      <w:proofErr w:type="gramEnd"/>
      <w:r>
        <w:t xml:space="preserve"> on the end date and 0 all others. </w:t>
      </w:r>
    </w:p>
    <w:p w14:paraId="771E28F0" w14:textId="5CDD0214" w:rsidR="00CB6976" w:rsidRDefault="00CB6976">
      <w:r>
        <w:t xml:space="preserve">*Note in many cases states filed derogations after the derogations actually started, so filed dates are often after the derogation start dates.  </w:t>
      </w:r>
      <w:proofErr w:type="gramStart"/>
      <w:r>
        <w:t>Also</w:t>
      </w:r>
      <w:proofErr w:type="gramEnd"/>
      <w:r>
        <w:t xml:space="preserve"> note that states often updated the timing of derogations to extend, so there may be multiple filing dates within one derogation period. </w:t>
      </w:r>
    </w:p>
    <w:p w14:paraId="25A59CFF" w14:textId="3C8B0385" w:rsidR="00CB722F" w:rsidRDefault="00CB722F"/>
    <w:p w14:paraId="3C12E11B" w14:textId="733AB18D" w:rsidR="00530280" w:rsidRPr="00530280" w:rsidRDefault="00530280">
      <w:pPr>
        <w:rPr>
          <w:b/>
        </w:rPr>
      </w:pPr>
      <w:r w:rsidRPr="00530280">
        <w:rPr>
          <w:b/>
        </w:rPr>
        <w:t>COVID RESPONSE DATA</w:t>
      </w:r>
    </w:p>
    <w:p w14:paraId="2DBA56C0" w14:textId="06076B99" w:rsidR="00530280" w:rsidRDefault="00530280">
      <w:r w:rsidRPr="00530280">
        <w:t>Oxford COVID-19 Government Response Tracker</w:t>
      </w:r>
      <w:r>
        <w:t xml:space="preserve">. </w:t>
      </w:r>
      <w:r w:rsidRPr="00530280">
        <w:t xml:space="preserve">Hale, Thomas, Sam Webster, Anna Petherick, Toby Phillips, and Beatriz Kira (2020). Oxford COVID-19 Government Response Tracker, </w:t>
      </w:r>
      <w:proofErr w:type="spellStart"/>
      <w:r w:rsidRPr="00530280">
        <w:t>Blavatnik</w:t>
      </w:r>
      <w:proofErr w:type="spellEnd"/>
      <w:r w:rsidRPr="00530280">
        <w:t xml:space="preserve"> School of Government. Data use policy: Creative Commons Attribution CC BY standard.</w:t>
      </w:r>
    </w:p>
    <w:p w14:paraId="43CC1A09" w14:textId="7B173BE9" w:rsidR="00732A93" w:rsidRDefault="00732A93">
      <w:r>
        <w:t>Most relevant Variables:</w:t>
      </w:r>
    </w:p>
    <w:p w14:paraId="4562605E" w14:textId="6A17C066" w:rsidR="00732A93" w:rsidRDefault="00732A93"/>
    <w:p w14:paraId="2C3D097C" w14:textId="3CA19A43" w:rsidR="00732A93" w:rsidRDefault="00732A93"/>
    <w:p w14:paraId="1EA7C95E" w14:textId="25E4EA80" w:rsidR="00732A93" w:rsidRDefault="00732A93"/>
    <w:p w14:paraId="5A04F1B0" w14:textId="0AB8C7D4" w:rsidR="00732A93" w:rsidRDefault="00732A93"/>
    <w:p w14:paraId="6DD6D027" w14:textId="64FC5496" w:rsidR="00732A93" w:rsidRDefault="00732A93"/>
    <w:p w14:paraId="3F45F867" w14:textId="7A574F32" w:rsidR="00732A93" w:rsidRDefault="00732A93"/>
    <w:p w14:paraId="028631D2" w14:textId="77777777" w:rsidR="00732A93" w:rsidRDefault="00732A93"/>
    <w:p w14:paraId="5C04AE06" w14:textId="3425CE2A" w:rsidR="00732A93" w:rsidRDefault="00732A93">
      <w:pPr>
        <w:rPr>
          <w:b/>
        </w:rPr>
      </w:pPr>
      <w:r w:rsidRPr="00732A93">
        <w:rPr>
          <w:b/>
        </w:rPr>
        <w:lastRenderedPageBreak/>
        <w:t>Containment and Closure Policies</w:t>
      </w:r>
      <w:r w:rsidR="00E70706">
        <w:rPr>
          <w:b/>
        </w:rPr>
        <w:t xml:space="preserve">: Descriptions from </w:t>
      </w:r>
      <w:hyperlink r:id="rId7" w:anchor="containment-and-closure-policies" w:history="1">
        <w:r w:rsidR="00E70706" w:rsidRPr="00DE1652">
          <w:rPr>
            <w:rStyle w:val="Hyperlink"/>
            <w:b/>
          </w:rPr>
          <w:t>https://github.com/OxCGRT/covid-policy-tracker/blob/master/documentation/codebook.md#containment-and-closure-policies</w:t>
        </w:r>
      </w:hyperlink>
      <w:r w:rsidR="00E70706">
        <w:rPr>
          <w:b/>
        </w:rPr>
        <w:t xml:space="preserve"> </w:t>
      </w:r>
    </w:p>
    <w:p w14:paraId="2962EB4A" w14:textId="52E93B0A" w:rsidR="00E70706" w:rsidRDefault="00E70706">
      <w:pPr>
        <w:rPr>
          <w:b/>
        </w:rPr>
      </w:pPr>
    </w:p>
    <w:p w14:paraId="588AE192" w14:textId="39692C47" w:rsidR="00E70706" w:rsidRDefault="00E70706">
      <w:pPr>
        <w:rPr>
          <w:b/>
        </w:rPr>
      </w:pPr>
      <w:r>
        <w:rPr>
          <w:b/>
        </w:rPr>
        <w:t>Stringency Index:</w:t>
      </w:r>
    </w:p>
    <w:p w14:paraId="12D46568" w14:textId="7AEEEFE6" w:rsidR="00E70706" w:rsidRPr="00E70706" w:rsidRDefault="00E70706" w:rsidP="00E70706">
      <w:pPr>
        <w:spacing w:after="375" w:line="240" w:lineRule="auto"/>
        <w:rPr>
          <w:rFonts w:ascii="Helvetica" w:eastAsia="Times New Roman" w:hAnsi="Helvetica" w:cs="Helvetica"/>
          <w:color w:val="0B1F3E"/>
          <w:sz w:val="24"/>
          <w:szCs w:val="24"/>
        </w:rPr>
      </w:pPr>
      <w:r w:rsidRPr="00E70706">
        <w:rPr>
          <w:rFonts w:ascii="Helvetica" w:eastAsia="Times New Roman" w:hAnsi="Helvetica" w:cs="Helvetica"/>
          <w:color w:val="0B1F3E"/>
          <w:sz w:val="24"/>
          <w:szCs w:val="24"/>
        </w:rPr>
        <w:t xml:space="preserve">The Stringency Index is an aggregate score/composite measure made up of a particular combination of policy indicators/response metrics from the codebook and their values (for the Stringency Index these are C1-8 and H1). The </w:t>
      </w:r>
      <w:proofErr w:type="spellStart"/>
      <w:r w:rsidRPr="00E70706">
        <w:rPr>
          <w:rFonts w:ascii="Helvetica" w:eastAsia="Times New Roman" w:hAnsi="Helvetica" w:cs="Helvetica"/>
          <w:color w:val="0B1F3E"/>
          <w:sz w:val="24"/>
          <w:szCs w:val="24"/>
        </w:rPr>
        <w:t>OxCGRT</w:t>
      </w:r>
      <w:proofErr w:type="spellEnd"/>
      <w:r w:rsidRPr="00E70706">
        <w:rPr>
          <w:rFonts w:ascii="Helvetica" w:eastAsia="Times New Roman" w:hAnsi="Helvetica" w:cs="Helvetica"/>
          <w:color w:val="0B1F3E"/>
          <w:sz w:val="24"/>
          <w:szCs w:val="24"/>
        </w:rPr>
        <w:t xml:space="preserve"> aggregates these policy indicator values into a common “Stringency Index” that runs from 0 -100. Our </w:t>
      </w:r>
      <w:hyperlink r:id="rId8" w:tgtFrame="_blank" w:history="1">
        <w:r w:rsidRPr="00E70706">
          <w:rPr>
            <w:rFonts w:ascii="Helvetica" w:eastAsia="Times New Roman" w:hAnsi="Helvetica" w:cs="Helvetica"/>
            <w:color w:val="30B5E4"/>
            <w:sz w:val="24"/>
            <w:szCs w:val="24"/>
            <w:u w:val="single"/>
          </w:rPr>
          <w:t>methodology documentation</w:t>
        </w:r>
      </w:hyperlink>
      <w:r w:rsidRPr="00E70706">
        <w:rPr>
          <w:rFonts w:ascii="Helvetica" w:eastAsia="Times New Roman" w:hAnsi="Helvetica" w:cs="Helvetica"/>
          <w:color w:val="0B1F3E"/>
          <w:sz w:val="24"/>
          <w:szCs w:val="24"/>
        </w:rPr>
        <w:t> explains how this is calculated.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2036"/>
        <w:gridCol w:w="38"/>
        <w:gridCol w:w="521"/>
        <w:gridCol w:w="513"/>
        <w:gridCol w:w="821"/>
        <w:gridCol w:w="497"/>
        <w:gridCol w:w="422"/>
        <w:gridCol w:w="314"/>
        <w:gridCol w:w="262"/>
        <w:gridCol w:w="272"/>
        <w:gridCol w:w="277"/>
        <w:gridCol w:w="282"/>
        <w:gridCol w:w="198"/>
        <w:gridCol w:w="180"/>
        <w:gridCol w:w="163"/>
        <w:gridCol w:w="1896"/>
      </w:tblGrid>
      <w:tr w:rsidR="00732A93" w:rsidRPr="00732A93" w14:paraId="0DAAED24" w14:textId="77777777" w:rsidTr="00732A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74144" w14:textId="77777777" w:rsidR="00732A93" w:rsidRPr="00732A93" w:rsidRDefault="00732A93" w:rsidP="00732A9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FB806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C3_Cancel public events</w:t>
            </w:r>
          </w:p>
        </w:tc>
        <w:tc>
          <w:tcPr>
            <w:tcW w:w="0" w:type="auto"/>
            <w:shd w:val="clear" w:color="auto" w:fill="FFFFFF"/>
          </w:tcPr>
          <w:p w14:paraId="22607FB4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3B4B7" w14:textId="019A955B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Record cancelling public events</w:t>
            </w:r>
          </w:p>
        </w:tc>
        <w:tc>
          <w:tcPr>
            <w:tcW w:w="0" w:type="auto"/>
            <w:gridSpan w:val="8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8B81B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C5A9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0 - no measures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1 - recommend cancelling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2 - require cancelling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Blank - no data</w:t>
            </w:r>
          </w:p>
        </w:tc>
      </w:tr>
      <w:tr w:rsidR="00732A93" w:rsidRPr="00732A93" w14:paraId="170E6B0F" w14:textId="77777777" w:rsidTr="00732A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F5664" w14:textId="77777777" w:rsidR="00732A93" w:rsidRPr="00732A93" w:rsidRDefault="00732A93" w:rsidP="00732A9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C4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1FE4A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C4_Restrictions on gatherings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52D0F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Record limits on gatherings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E598F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gridSpan w:val="4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EBD3B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0 - no restrictions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1 - restrictions on very large gatherings (the limit is above 1000 people)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2 - restrictions on gatherings between 101-1000 people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3 - restrictions on gatherings between 11-100 people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4 - restrictions on gatherings of 10 people or less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Blank - no data</w:t>
            </w:r>
          </w:p>
        </w:tc>
      </w:tr>
      <w:tr w:rsidR="00732A93" w:rsidRPr="00732A93" w14:paraId="19ADF98A" w14:textId="77777777" w:rsidTr="00732A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3508C" w14:textId="77777777" w:rsidR="00732A93" w:rsidRPr="00732A93" w:rsidRDefault="00732A93" w:rsidP="00732A9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C5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5E0F3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C5_Close public transport</w:t>
            </w:r>
          </w:p>
        </w:tc>
        <w:tc>
          <w:tcPr>
            <w:tcW w:w="0" w:type="auto"/>
            <w:gridSpan w:val="4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3BF2B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Record closing of public transport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995E1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gridSpan w:val="6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7E0F5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0 - no measures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1 - recommend closing (or significantly reduce volume/route/means of transport available)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2 - require closing (or prohibit most citizens from using it)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Blank - no data</w:t>
            </w:r>
          </w:p>
        </w:tc>
      </w:tr>
      <w:tr w:rsidR="00732A93" w:rsidRPr="00732A93" w14:paraId="3DD7375D" w14:textId="77777777" w:rsidTr="00732A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93BBC" w14:textId="77777777" w:rsidR="00732A93" w:rsidRPr="00732A93" w:rsidRDefault="00732A93" w:rsidP="00732A9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58E8A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C6_Stay at home requirements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A058B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Record orders to "shelter-in-place" and otherwise confine to the home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3954A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31206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0 - no measures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1 - recommend not leaving house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2 - require not leaving house with exceptions for daily exercise, grocery shopping, and 'essential' trips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3 - require not leaving house with minimal exceptions (</w:t>
            </w:r>
            <w:proofErr w:type="spellStart"/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eg</w:t>
            </w:r>
            <w:proofErr w:type="spellEnd"/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allowed to leave once a week, or only one person can leave at a time, </w:t>
            </w:r>
            <w:proofErr w:type="spellStart"/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etc</w:t>
            </w:r>
            <w:proofErr w:type="spellEnd"/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)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Blank - no data</w:t>
            </w:r>
          </w:p>
        </w:tc>
      </w:tr>
      <w:tr w:rsidR="00732A93" w:rsidRPr="00732A93" w14:paraId="3B7E40A8" w14:textId="77777777" w:rsidTr="00732A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9D4D8" w14:textId="77777777" w:rsidR="00732A93" w:rsidRPr="00732A93" w:rsidRDefault="00732A93" w:rsidP="00732A9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C7</w:t>
            </w:r>
          </w:p>
        </w:tc>
        <w:tc>
          <w:tcPr>
            <w:tcW w:w="0" w:type="auto"/>
            <w:gridSpan w:val="4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76599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C7_Restrictions on internal movement</w:t>
            </w:r>
          </w:p>
        </w:tc>
        <w:tc>
          <w:tcPr>
            <w:tcW w:w="0" w:type="auto"/>
            <w:gridSpan w:val="4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14D42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Record restrictions on internal movement between cities/regions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DE366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994CD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0 - no measures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1 - recommend not to travel between regions/cities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2 - internal movement restrictions in place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Blank - no data</w:t>
            </w:r>
          </w:p>
        </w:tc>
      </w:tr>
      <w:tr w:rsidR="00732A93" w:rsidRPr="00732A93" w14:paraId="2CD43553" w14:textId="77777777" w:rsidTr="00732A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A96F9" w14:textId="77777777" w:rsidR="00732A93" w:rsidRPr="00732A93" w:rsidRDefault="00732A93" w:rsidP="00732A9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C8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EB230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C8_International travel controls</w:t>
            </w:r>
          </w:p>
        </w:tc>
        <w:tc>
          <w:tcPr>
            <w:tcW w:w="0" w:type="auto"/>
            <w:gridSpan w:val="6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6AC35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Record restrictions on international travel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br/>
              <w:t xml:space="preserve">Note: this records policy for foreign </w:t>
            </w:r>
            <w:proofErr w:type="spellStart"/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travellers</w:t>
            </w:r>
            <w:proofErr w:type="spellEnd"/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, not citizens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9661D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Ordinal scale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F3FEC" w14:textId="77777777" w:rsidR="00732A93" w:rsidRPr="00732A93" w:rsidRDefault="00732A93" w:rsidP="00732A9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0 - no restrictions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1 - screening arrivals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2 - quarantine arrivals from some or all regions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3 - ban arrivals from some regions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4 - ban on all regions or total border closure</w:t>
            </w:r>
            <w:r w:rsidRPr="00732A93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Blank - no data</w:t>
            </w:r>
          </w:p>
        </w:tc>
      </w:tr>
      <w:tr w:rsidR="00EE594F" w:rsidRPr="00EE594F" w14:paraId="756E8517" w14:textId="77777777" w:rsidTr="00EE594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AAD4D" w14:textId="77777777" w:rsidR="00EE594F" w:rsidRPr="00EE594F" w:rsidRDefault="00EE594F" w:rsidP="00EE594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E1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751A4" w14:textId="77777777" w:rsidR="00EE594F" w:rsidRPr="00EE594F" w:rsidRDefault="00EE594F" w:rsidP="00EE594F">
            <w:pPr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r w:rsidRPr="00EE59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E1_Income support</w:t>
            </w:r>
            <w:r w:rsidRPr="00EE59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br/>
              <w:t>(for households)</w:t>
            </w:r>
          </w:p>
        </w:tc>
        <w:tc>
          <w:tcPr>
            <w:tcW w:w="0" w:type="auto"/>
            <w:gridSpan w:val="6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3E548" w14:textId="77777777" w:rsidR="00EE594F" w:rsidRPr="00EE594F" w:rsidRDefault="00EE594F" w:rsidP="00EE59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Record if the government is providing direct cash payments to people who lose their jobs or cannot work.</w:t>
            </w: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</w: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Note: only includes payments to firms if explicitly linked to payroll/salaries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FD9CA" w14:textId="77777777" w:rsidR="00EE594F" w:rsidRPr="00EE594F" w:rsidRDefault="00EE594F" w:rsidP="00EE59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Ordinal scale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30408" w14:textId="77777777" w:rsidR="00EE594F" w:rsidRPr="00EE594F" w:rsidRDefault="00EE594F" w:rsidP="00EE59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0 - no income support</w:t>
            </w: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1 - government is replacing less than 50% of lost salary (or if a flat sum, it is less than 50% median salary)</w:t>
            </w: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2 - government is replacing 50% or more of lost salary (or if a flat sum, it is greater than 50% median salary)</w:t>
            </w: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Blank - no data</w:t>
            </w:r>
          </w:p>
        </w:tc>
      </w:tr>
      <w:tr w:rsidR="00EE594F" w:rsidRPr="00EE594F" w14:paraId="0324EA1C" w14:textId="77777777" w:rsidTr="00EE594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FA194" w14:textId="77777777" w:rsidR="00EE594F" w:rsidRPr="00EE594F" w:rsidRDefault="00EE594F" w:rsidP="00EE594F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E2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6AC19" w14:textId="77777777" w:rsidR="00EE594F" w:rsidRPr="00EE594F" w:rsidRDefault="00EE594F" w:rsidP="00EE594F">
            <w:pPr>
              <w:spacing w:after="0" w:line="240" w:lineRule="auto"/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</w:pPr>
            <w:r w:rsidRPr="00EE59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E2_Debt/contract relief</w:t>
            </w:r>
            <w:r w:rsidRPr="00EE594F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br/>
              <w:t>(for households)</w:t>
            </w:r>
          </w:p>
        </w:tc>
        <w:tc>
          <w:tcPr>
            <w:tcW w:w="0" w:type="auto"/>
            <w:gridSpan w:val="6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4DBFA" w14:textId="77777777" w:rsidR="00EE594F" w:rsidRPr="00EE594F" w:rsidRDefault="00EE594F" w:rsidP="00EE59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Record if the government is freezing financial obligations for households (</w:t>
            </w:r>
            <w:proofErr w:type="spellStart"/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eg</w:t>
            </w:r>
            <w:proofErr w:type="spellEnd"/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stopping loan repayments, preventing services </w:t>
            </w: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like water from stopping, or banning evictions)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7D5B3" w14:textId="77777777" w:rsidR="00EE594F" w:rsidRPr="00EE594F" w:rsidRDefault="00EE594F" w:rsidP="00EE59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Ordinal scale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DD944" w14:textId="77777777" w:rsidR="00EE594F" w:rsidRPr="00EE594F" w:rsidRDefault="00EE594F" w:rsidP="00EE59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0 - no debt/contract relief</w:t>
            </w: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  <w:t>1 - narrow relief, specific to one kind of contract</w:t>
            </w: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br/>
            </w:r>
            <w:r w:rsidRPr="00EE594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2 - broad debt/contract relief</w:t>
            </w:r>
          </w:p>
        </w:tc>
      </w:tr>
    </w:tbl>
    <w:p w14:paraId="30633BCA" w14:textId="477FE102" w:rsidR="00530280" w:rsidRDefault="00530280">
      <w:bookmarkStart w:id="0" w:name="_GoBack"/>
      <w:bookmarkEnd w:id="0"/>
    </w:p>
    <w:sectPr w:rsidR="0053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74CAF"/>
    <w:multiLevelType w:val="hybridMultilevel"/>
    <w:tmpl w:val="3536D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87"/>
    <w:rsid w:val="000E44B6"/>
    <w:rsid w:val="00124E5A"/>
    <w:rsid w:val="00140D87"/>
    <w:rsid w:val="001454FD"/>
    <w:rsid w:val="002E3530"/>
    <w:rsid w:val="004406FE"/>
    <w:rsid w:val="00530280"/>
    <w:rsid w:val="00582041"/>
    <w:rsid w:val="00732A93"/>
    <w:rsid w:val="0076055F"/>
    <w:rsid w:val="00782297"/>
    <w:rsid w:val="0094267E"/>
    <w:rsid w:val="00A348F8"/>
    <w:rsid w:val="00CB6976"/>
    <w:rsid w:val="00CB722F"/>
    <w:rsid w:val="00E66530"/>
    <w:rsid w:val="00E70706"/>
    <w:rsid w:val="00EB34BF"/>
    <w:rsid w:val="00E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A322"/>
  <w15:chartTrackingRefBased/>
  <w15:docId w15:val="{16309596-83A1-43ED-A370-9E1E9DD1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E5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32A9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59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xCGRT/covid-policy-tracker/blob/master/documentation/index_methodology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xCGRT/covid-policy-tracker/blob/master/documentation/codebook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relatesofwar.org/data-sets/cow-country-codes" TargetMode="External"/><Relationship Id="rId5" Type="http://schemas.openxmlformats.org/officeDocument/2006/relationships/hyperlink" Target="https://covid19.who.int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Comstock</dc:creator>
  <cp:keywords/>
  <dc:description/>
  <cp:lastModifiedBy>Audrey Comstock</cp:lastModifiedBy>
  <cp:revision>6</cp:revision>
  <dcterms:created xsi:type="dcterms:W3CDTF">2022-07-21T21:41:00Z</dcterms:created>
  <dcterms:modified xsi:type="dcterms:W3CDTF">2022-07-22T19:26:00Z</dcterms:modified>
</cp:coreProperties>
</file>