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BF8F" w14:textId="5CE5F293" w:rsidR="00CD1667" w:rsidRPr="008B4EB9" w:rsidRDefault="00CD1667" w:rsidP="008B4EB9">
      <w:bookmarkStart w:id="0" w:name="references"/>
      <w:bookmarkStart w:id="1" w:name="refs"/>
      <w:bookmarkStart w:id="2" w:name="ref-YeHeiss:2024"/>
      <w:bookmarkEnd w:id="0"/>
      <w:bookmarkEnd w:id="1"/>
      <w:bookmarkEnd w:id="2"/>
    </w:p>
    <w:sectPr w:rsidR="00CD1667" w:rsidRPr="008B4E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FB471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63365954">
    <w:abstractNumId w:val="0"/>
  </w:num>
  <w:num w:numId="2" w16cid:durableId="4886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004"/>
    <w:rsid w:val="003F67C3"/>
    <w:rsid w:val="00811004"/>
    <w:rsid w:val="008B4EB9"/>
    <w:rsid w:val="00CD1667"/>
    <w:rsid w:val="00D80988"/>
    <w:rsid w:val="00EB6D70"/>
    <w:rsid w:val="00F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2AB57"/>
  <w15:docId w15:val="{7B10E2BE-76B7-F34C-B657-1EB21B5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F67C3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67C3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3F67C3"/>
    <w:pPr>
      <w:spacing w:after="0" w:line="480" w:lineRule="auto"/>
      <w:contextualSpacing/>
      <w:jc w:val="center"/>
    </w:pPr>
    <w:rPr>
      <w:rFonts w:ascii="Times New Roman Bold" w:eastAsiaTheme="majorEastAsia" w:hAnsi="Times New Roman Bold" w:cs="Times New Roman (Headings CS)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C3"/>
    <w:rPr>
      <w:rFonts w:ascii="Times New Roman Bold" w:eastAsiaTheme="majorEastAsia" w:hAnsi="Times New Roman Bold" w:cs="Times New Roman (Headings CS)"/>
      <w:b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EB6D70"/>
    <w:pPr>
      <w:numPr>
        <w:ilvl w:val="1"/>
      </w:numPr>
      <w:spacing w:after="240"/>
    </w:pPr>
    <w:rPr>
      <w:rFonts w:ascii="Times New Roman" w:hAnsi="Times New Roman"/>
      <w:b w:val="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70"/>
    <w:rPr>
      <w:rFonts w:ascii="Times New Roman" w:eastAsiaTheme="majorEastAsia" w:hAnsi="Times New Roman" w:cs="Times New Roman (Headings CS)"/>
      <w:szCs w:val="28"/>
    </w:rPr>
  </w:style>
  <w:style w:type="paragraph" w:customStyle="1" w:styleId="Author">
    <w:name w:val="Author"/>
    <w:next w:val="BodyText"/>
    <w:qFormat/>
    <w:rsid w:val="00EB6D70"/>
    <w:pPr>
      <w:keepNext/>
      <w:keepLines/>
      <w:spacing w:after="240" w:line="48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EB6D70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rsid w:val="00EB6D70"/>
    <w:pPr>
      <w:keepNext/>
      <w:keepLines/>
      <w:spacing w:after="0"/>
      <w:jc w:val="center"/>
    </w:pPr>
    <w:rPr>
      <w:rFonts w:ascii="Times New Roman" w:hAnsi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EB6D70"/>
    <w:pPr>
      <w:keepNext/>
      <w:keepLines/>
      <w:spacing w:after="480"/>
      <w:ind w:left="720" w:right="72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F67C3"/>
    <w:pPr>
      <w:spacing w:after="0" w:line="480" w:lineRule="auto"/>
      <w:ind w:left="720" w:hanging="72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F67C3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F67C3"/>
    <w:pPr>
      <w:spacing w:after="480" w:line="480" w:lineRule="auto"/>
      <w:jc w:val="center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Donor Responses to Civil Society Repression</dc:title>
  <dc:creator>Andrew Heiss; Suparna Chaudhry</dc:creator>
  <cp:keywords/>
  <cp:lastModifiedBy>Andrew Heiss</cp:lastModifiedBy>
  <cp:revision>3</cp:revision>
  <dcterms:created xsi:type="dcterms:W3CDTF">2025-01-23T21:55:00Z</dcterms:created>
  <dcterms:modified xsi:type="dcterms:W3CDTF">2025-01-23T22:10:00Z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chapter examines donor responses to the global crackdown on civil society, where governments use legal measures to repress NGOs. Donors, including bilateral and multilateral agencies, respond variably; bilateral aid often decreases following anti-NGO laws, while multilateral aid remains stable. Private donors’ responses depend on factors like social trust and NGO transparency. NGOs adapt by diversifying funding, forming affiliates, or shifting to community-based support. As the space for civil society continues to shrink, coordinated international efforts are essential to counteract these repressive trends and uphold civil society’s role in democratic governance.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csl/chicago-author-date.csl</vt:lpwstr>
  </property>
  <property fmtid="{D5CDD505-2E9C-101B-9397-08002B2CF9AE}" pid="10" name="date">
    <vt:lpwstr>2025-01-23</vt:lpwstr>
  </property>
  <property fmtid="{D5CDD505-2E9C-101B-9397-08002B2CF9AE}" pid="11" name="doi">
    <vt:lpwstr>10.31235/osf.io/9gmhp</vt:lpwstr>
  </property>
  <property fmtid="{D5CDD505-2E9C-101B-9397-08002B2CF9AE}" pid="12" name="doi-title">
    <vt:lpwstr>SocArXiv preprint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nitr">
    <vt:lpwstr/>
  </property>
  <property fmtid="{D5CDD505-2E9C-101B-9397-08002B2CF9AE}" pid="17" name="labels">
    <vt:lpwstr/>
  </property>
  <property fmtid="{D5CDD505-2E9C-101B-9397-08002B2CF9AE}" pid="18" name="params">
    <vt:lpwstr/>
  </property>
  <property fmtid="{D5CDD505-2E9C-101B-9397-08002B2CF9AE}" pid="19" name="subtitle">
    <vt:lpwstr>Chapter for the Handbook of Political Control</vt:lpwstr>
  </property>
  <property fmtid="{D5CDD505-2E9C-101B-9397-08002B2CF9AE}" pid="20" name="toc-title">
    <vt:lpwstr>Table of contents</vt:lpwstr>
  </property>
</Properties>
</file>